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8CC2" w14:textId="2EE2D840" w:rsidR="00612934" w:rsidRDefault="00076B08" w:rsidP="0050657A">
      <w:pPr>
        <w:ind w:left="-540"/>
        <w:jc w:val="both"/>
        <w:rPr>
          <w:rFonts w:cstheme="minorHAnsi"/>
          <w:b/>
        </w:rPr>
      </w:pPr>
      <w:bookmarkStart w:id="0" w:name="_Hlk529375361"/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E49428D" wp14:editId="7B46A2DF">
            <wp:simplePos x="0" y="0"/>
            <wp:positionH relativeFrom="margin">
              <wp:posOffset>4324350</wp:posOffset>
            </wp:positionH>
            <wp:positionV relativeFrom="page">
              <wp:posOffset>466725</wp:posOffset>
            </wp:positionV>
            <wp:extent cx="1961515" cy="94551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_Women_English_Blue_TransparentBackground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6F6C1B96" wp14:editId="66734628">
            <wp:simplePos x="0" y="0"/>
            <wp:positionH relativeFrom="margin">
              <wp:posOffset>-200025</wp:posOffset>
            </wp:positionH>
            <wp:positionV relativeFrom="page">
              <wp:posOffset>485775</wp:posOffset>
            </wp:positionV>
            <wp:extent cx="1879600" cy="84518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_RGB_hoch_po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lang w:val="en-GB" w:eastAsia="en-GB"/>
        </w:rPr>
        <w:drawing>
          <wp:anchor distT="0" distB="0" distL="114300" distR="114300" simplePos="0" relativeHeight="251649024" behindDoc="0" locked="0" layoutInCell="1" allowOverlap="1" wp14:anchorId="18363B5B" wp14:editId="06E0BC2D">
            <wp:simplePos x="0" y="0"/>
            <wp:positionH relativeFrom="margin">
              <wp:align>center</wp:align>
            </wp:positionH>
            <wp:positionV relativeFrom="page">
              <wp:posOffset>285115</wp:posOffset>
            </wp:positionV>
            <wp:extent cx="2504364" cy="123056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ustrian_Development_Agency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364" cy="123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934" w:rsidRPr="00BD5D70">
        <w:rPr>
          <w:rFonts w:cstheme="minorHAnsi"/>
          <w:b/>
        </w:rPr>
        <w:t xml:space="preserve">        </w:t>
      </w:r>
    </w:p>
    <w:p w14:paraId="08C56812" w14:textId="59D7187F" w:rsidR="00EF591A" w:rsidRDefault="00EF591A" w:rsidP="00EF591A"/>
    <w:p w14:paraId="6899A46C" w14:textId="5DFEEB36" w:rsidR="00E907D5" w:rsidRPr="00E907D5" w:rsidRDefault="0077251E" w:rsidP="00E907D5">
      <w:pPr>
        <w:spacing w:after="0"/>
        <w:jc w:val="center"/>
        <w:rPr>
          <w:rFonts w:cstheme="minorHAnsi"/>
          <w:b/>
          <w:color w:val="0070C0"/>
          <w:sz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bookmarkStart w:id="1" w:name="_Hlk530155486"/>
      <w:r>
        <w:rPr>
          <w:rFonts w:cstheme="minorHAnsi"/>
          <w:b/>
          <w:color w:val="0070C0"/>
          <w:sz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Analysis of the </w:t>
      </w:r>
      <w:r w:rsidR="00E13FC9" w:rsidRPr="00E13FC9">
        <w:rPr>
          <w:rFonts w:cstheme="minorHAnsi"/>
          <w:b/>
          <w:color w:val="0070C0"/>
          <w:sz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Gender Pay Gap Georgia </w:t>
      </w:r>
      <w:r w:rsidR="00EB2CEA">
        <w:rPr>
          <w:rFonts w:cstheme="minorHAnsi"/>
          <w:b/>
          <w:color w:val="0070C0"/>
          <w:sz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bookmarkEnd w:id="1"/>
    <w:p w14:paraId="067007EF" w14:textId="77777777" w:rsidR="00BD5D70" w:rsidRPr="00BD5D70" w:rsidRDefault="00BD5D70" w:rsidP="00BD5D70">
      <w:pPr>
        <w:spacing w:after="0"/>
        <w:jc w:val="center"/>
        <w:rPr>
          <w:rFonts w:cstheme="minorHAnsi"/>
          <w:sz w:val="28"/>
        </w:rPr>
      </w:pPr>
    </w:p>
    <w:tbl>
      <w:tblPr>
        <w:tblW w:w="9630" w:type="dxa"/>
        <w:tblCellSpacing w:w="3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924"/>
      </w:tblGrid>
      <w:tr w:rsidR="00D56EB6" w:rsidRPr="00BD5D70" w14:paraId="4D3F9A3B" w14:textId="77777777" w:rsidTr="0050657A">
        <w:trPr>
          <w:trHeight w:val="253"/>
          <w:tblCellSpacing w:w="30" w:type="dxa"/>
        </w:trPr>
        <w:tc>
          <w:tcPr>
            <w:tcW w:w="0" w:type="auto"/>
            <w:hideMark/>
          </w:tcPr>
          <w:p w14:paraId="12ED0676" w14:textId="77777777" w:rsidR="00D56EB6" w:rsidRPr="00BD5D70" w:rsidRDefault="00D46CD4" w:rsidP="00BD5D7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BD5D70">
              <w:rPr>
                <w:rFonts w:eastAsia="Times New Roman" w:cstheme="minorHAnsi"/>
                <w:b/>
                <w:bCs/>
                <w:lang w:eastAsia="ru-RU"/>
              </w:rPr>
              <w:t>Date</w:t>
            </w:r>
            <w:r>
              <w:rPr>
                <w:rFonts w:eastAsia="Times New Roman" w:cstheme="minorHAnsi"/>
                <w:b/>
                <w:bCs/>
                <w:lang w:eastAsia="ru-RU"/>
              </w:rPr>
              <w:t>:</w:t>
            </w:r>
          </w:p>
        </w:tc>
        <w:tc>
          <w:tcPr>
            <w:tcW w:w="6834" w:type="dxa"/>
            <w:hideMark/>
          </w:tcPr>
          <w:p w14:paraId="2A1D9DE8" w14:textId="5D0B1DEA" w:rsidR="00D56EB6" w:rsidRPr="00E907D5" w:rsidRDefault="00F0647F" w:rsidP="00BD5D7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March </w:t>
            </w:r>
            <w:r w:rsidR="001C6964">
              <w:rPr>
                <w:rFonts w:eastAsia="Times New Roman" w:cstheme="minorHAnsi"/>
                <w:lang w:eastAsia="ru-RU"/>
              </w:rPr>
              <w:t>16</w:t>
            </w:r>
            <w:r>
              <w:rPr>
                <w:rFonts w:eastAsia="Times New Roman" w:cstheme="minorHAnsi"/>
                <w:lang w:eastAsia="ru-RU"/>
              </w:rPr>
              <w:t>, 2020</w:t>
            </w:r>
          </w:p>
        </w:tc>
      </w:tr>
      <w:tr w:rsidR="00D56EB6" w:rsidRPr="00BD5D70" w14:paraId="0E42D455" w14:textId="77777777" w:rsidTr="0050657A">
        <w:trPr>
          <w:trHeight w:val="253"/>
          <w:tblCellSpacing w:w="30" w:type="dxa"/>
        </w:trPr>
        <w:tc>
          <w:tcPr>
            <w:tcW w:w="0" w:type="auto"/>
            <w:hideMark/>
          </w:tcPr>
          <w:p w14:paraId="1C0CB82E" w14:textId="77777777" w:rsidR="00D56EB6" w:rsidRPr="00BD5D70" w:rsidRDefault="00D46CD4" w:rsidP="00BD5D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BD5D70">
              <w:rPr>
                <w:rFonts w:eastAsia="Times New Roman" w:cstheme="minorHAnsi"/>
                <w:b/>
                <w:bCs/>
                <w:lang w:eastAsia="ru-RU"/>
              </w:rPr>
              <w:t>Location:</w:t>
            </w:r>
          </w:p>
        </w:tc>
        <w:tc>
          <w:tcPr>
            <w:tcW w:w="6834" w:type="dxa"/>
            <w:hideMark/>
          </w:tcPr>
          <w:p w14:paraId="2F028205" w14:textId="68DBF0D6" w:rsidR="00D56EB6" w:rsidRPr="00BD5D70" w:rsidRDefault="009F0A06" w:rsidP="00BD5D7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9F0A06">
              <w:rPr>
                <w:rFonts w:eastAsia="Times New Roman" w:cstheme="minorHAnsi"/>
                <w:lang w:eastAsia="ru-RU"/>
              </w:rPr>
              <w:t xml:space="preserve">Ballroom 2, </w:t>
            </w:r>
            <w:r w:rsidR="00FE70EB" w:rsidRPr="00FE70EB">
              <w:rPr>
                <w:rFonts w:eastAsia="Times New Roman" w:cstheme="minorHAnsi"/>
                <w:lang w:eastAsia="ru-RU"/>
              </w:rPr>
              <w:t>Courtyard Marriot Hotel</w:t>
            </w:r>
            <w:r w:rsidR="00FE70EB">
              <w:rPr>
                <w:rFonts w:eastAsia="Times New Roman" w:cstheme="minorHAnsi"/>
                <w:lang w:eastAsia="ru-RU"/>
              </w:rPr>
              <w:t>,</w:t>
            </w:r>
            <w:r w:rsidR="00FE70EB" w:rsidRPr="00FE70EB">
              <w:rPr>
                <w:rFonts w:eastAsia="Times New Roman" w:cstheme="minorHAnsi"/>
                <w:lang w:eastAsia="ru-RU"/>
              </w:rPr>
              <w:t xml:space="preserve"> </w:t>
            </w:r>
            <w:r w:rsidR="00D46CD4" w:rsidRPr="00BD5D70">
              <w:rPr>
                <w:rFonts w:eastAsia="Times New Roman" w:cstheme="minorHAnsi"/>
                <w:lang w:eastAsia="ru-RU"/>
              </w:rPr>
              <w:t>Tbilisi,</w:t>
            </w:r>
            <w:r w:rsidR="000C193E">
              <w:rPr>
                <w:rFonts w:eastAsia="Times New Roman" w:cstheme="minorHAnsi"/>
                <w:lang w:eastAsia="ru-RU"/>
              </w:rPr>
              <w:t xml:space="preserve"> Georgia</w:t>
            </w:r>
          </w:p>
        </w:tc>
      </w:tr>
      <w:tr w:rsidR="00D56EB6" w:rsidRPr="00BD5D70" w14:paraId="43FD6FB5" w14:textId="77777777" w:rsidTr="0050657A">
        <w:trPr>
          <w:trHeight w:val="253"/>
          <w:tblCellSpacing w:w="30" w:type="dxa"/>
        </w:trPr>
        <w:tc>
          <w:tcPr>
            <w:tcW w:w="0" w:type="auto"/>
            <w:hideMark/>
          </w:tcPr>
          <w:p w14:paraId="34D8848A" w14:textId="77777777" w:rsidR="00D56EB6" w:rsidRPr="00BD5D70" w:rsidRDefault="00D56EB6" w:rsidP="00BD5D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BD5D70">
              <w:rPr>
                <w:rFonts w:eastAsia="Times New Roman" w:cstheme="minorHAnsi"/>
                <w:b/>
                <w:bCs/>
                <w:lang w:eastAsia="ru-RU"/>
              </w:rPr>
              <w:t>Organizers:</w:t>
            </w:r>
          </w:p>
        </w:tc>
        <w:tc>
          <w:tcPr>
            <w:tcW w:w="6834" w:type="dxa"/>
            <w:hideMark/>
          </w:tcPr>
          <w:p w14:paraId="71617CCB" w14:textId="50156BC5" w:rsidR="00D56EB6" w:rsidRPr="00BD5D70" w:rsidRDefault="00E907D5" w:rsidP="00BD5D7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UN Women </w:t>
            </w:r>
          </w:p>
        </w:tc>
      </w:tr>
      <w:tr w:rsidR="00D56EB6" w:rsidRPr="00BD5D70" w14:paraId="749B5EEE" w14:textId="77777777" w:rsidTr="0050657A">
        <w:trPr>
          <w:trHeight w:val="1768"/>
          <w:tblCellSpacing w:w="30" w:type="dxa"/>
        </w:trPr>
        <w:tc>
          <w:tcPr>
            <w:tcW w:w="0" w:type="auto"/>
            <w:hideMark/>
          </w:tcPr>
          <w:p w14:paraId="6CB3453F" w14:textId="77777777" w:rsidR="00D56EB6" w:rsidRPr="00BD5D70" w:rsidRDefault="00D56EB6" w:rsidP="00BD5D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BD5D70">
              <w:rPr>
                <w:rFonts w:eastAsia="Times New Roman" w:cstheme="minorHAnsi"/>
                <w:b/>
                <w:bCs/>
                <w:lang w:eastAsia="ru-RU"/>
              </w:rPr>
              <w:t>Participants/target audience:</w:t>
            </w:r>
          </w:p>
        </w:tc>
        <w:tc>
          <w:tcPr>
            <w:tcW w:w="6834" w:type="dxa"/>
            <w:hideMark/>
          </w:tcPr>
          <w:p w14:paraId="58886727" w14:textId="3D3035E7" w:rsidR="006C11B6" w:rsidRDefault="00E13FC9" w:rsidP="00E907D5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The event will bring together policy makers, private sector, trade unions and civil society participants from Georgia </w:t>
            </w:r>
            <w:r w:rsidR="002C3612">
              <w:rPr>
                <w:rFonts w:eastAsia="Times New Roman" w:cstheme="minorHAnsi"/>
                <w:lang w:eastAsia="ru-RU"/>
              </w:rPr>
              <w:t xml:space="preserve">for the dissemination of </w:t>
            </w:r>
            <w:r>
              <w:rPr>
                <w:rFonts w:eastAsia="Times New Roman" w:cstheme="minorHAnsi"/>
                <w:lang w:eastAsia="ru-RU"/>
              </w:rPr>
              <w:t xml:space="preserve">the Gender Pay Gap </w:t>
            </w:r>
            <w:r w:rsidR="002C3612">
              <w:rPr>
                <w:rFonts w:eastAsia="Times New Roman" w:cstheme="minorHAnsi"/>
                <w:lang w:eastAsia="ru-RU"/>
              </w:rPr>
              <w:t>analysis and to discuss</w:t>
            </w:r>
            <w:r w:rsidR="001C6964">
              <w:rPr>
                <w:rFonts w:eastAsia="Times New Roman" w:cstheme="minorHAnsi"/>
                <w:lang w:eastAsia="ru-RU"/>
              </w:rPr>
              <w:t xml:space="preserve"> the policy</w:t>
            </w:r>
            <w:r w:rsidR="002C3612">
              <w:rPr>
                <w:rFonts w:eastAsia="Times New Roman" w:cstheme="minorHAnsi"/>
                <w:lang w:eastAsia="ru-RU"/>
              </w:rPr>
              <w:t xml:space="preserve"> implications </w:t>
            </w:r>
            <w:r w:rsidR="00D4749A">
              <w:rPr>
                <w:rFonts w:eastAsia="Times New Roman" w:cstheme="minorHAnsi"/>
                <w:lang w:eastAsia="ru-RU"/>
              </w:rPr>
              <w:t>in</w:t>
            </w:r>
            <w:r w:rsidR="002C3612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Georgia</w:t>
            </w:r>
            <w:r w:rsidR="00D4749A">
              <w:rPr>
                <w:rFonts w:eastAsia="Times New Roman" w:cstheme="minorHAnsi"/>
                <w:lang w:eastAsia="ru-RU"/>
              </w:rPr>
              <w:t>.</w:t>
            </w:r>
          </w:p>
          <w:p w14:paraId="7ADA62BB" w14:textId="77777777" w:rsidR="001D6CF4" w:rsidRDefault="001D6CF4" w:rsidP="00E907D5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  <w:p w14:paraId="1921CB51" w14:textId="33B399CC" w:rsidR="00E907D5" w:rsidRPr="00E907D5" w:rsidRDefault="00E907D5" w:rsidP="00E907D5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E907D5">
              <w:rPr>
                <w:rFonts w:eastAsia="Times New Roman" w:cstheme="minorHAnsi"/>
                <w:lang w:eastAsia="ru-RU"/>
              </w:rPr>
              <w:t xml:space="preserve">Please find full list of </w:t>
            </w:r>
            <w:r w:rsidR="00E13FC9">
              <w:rPr>
                <w:rFonts w:eastAsia="Times New Roman" w:cstheme="minorHAnsi"/>
                <w:lang w:eastAsia="ru-RU"/>
              </w:rPr>
              <w:t>invitees</w:t>
            </w:r>
            <w:r w:rsidRPr="00E907D5">
              <w:rPr>
                <w:rFonts w:eastAsia="Times New Roman" w:cstheme="minorHAnsi"/>
                <w:lang w:eastAsia="ru-RU"/>
              </w:rPr>
              <w:t xml:space="preserve"> as part of the annexes (Annex </w:t>
            </w:r>
            <w:r w:rsidR="00E13FC9">
              <w:rPr>
                <w:rFonts w:eastAsia="Times New Roman" w:cstheme="minorHAnsi"/>
                <w:lang w:eastAsia="ru-RU"/>
              </w:rPr>
              <w:t>1</w:t>
            </w:r>
            <w:r w:rsidRPr="00E907D5">
              <w:rPr>
                <w:rFonts w:eastAsia="Times New Roman" w:cstheme="minorHAnsi"/>
                <w:lang w:eastAsia="ru-RU"/>
              </w:rPr>
              <w:t xml:space="preserve">). </w:t>
            </w:r>
          </w:p>
          <w:p w14:paraId="34748191" w14:textId="1C849394" w:rsidR="00D56EB6" w:rsidRPr="00BD5D70" w:rsidRDefault="00D56EB6" w:rsidP="00BD5D7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56EB6" w:rsidRPr="00BD5D70" w14:paraId="1BC9A0A3" w14:textId="77777777" w:rsidTr="00D44F0F">
        <w:trPr>
          <w:trHeight w:val="1287"/>
          <w:tblCellSpacing w:w="30" w:type="dxa"/>
        </w:trPr>
        <w:tc>
          <w:tcPr>
            <w:tcW w:w="0" w:type="auto"/>
            <w:hideMark/>
          </w:tcPr>
          <w:p w14:paraId="0795C6B4" w14:textId="77378A4B" w:rsidR="00D56EB6" w:rsidRPr="00BD5D70" w:rsidRDefault="00E907D5" w:rsidP="00BD5D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Expected outcomes</w:t>
            </w:r>
            <w:r w:rsidR="00D56EB6" w:rsidRPr="00BD5D70">
              <w:rPr>
                <w:rFonts w:eastAsia="Times New Roman" w:cstheme="minorHAnsi"/>
                <w:b/>
                <w:bCs/>
                <w:lang w:eastAsia="ru-RU"/>
              </w:rPr>
              <w:t>:</w:t>
            </w:r>
          </w:p>
        </w:tc>
        <w:tc>
          <w:tcPr>
            <w:tcW w:w="6834" w:type="dxa"/>
            <w:hideMark/>
          </w:tcPr>
          <w:p w14:paraId="68D81E41" w14:textId="7A4A730E" w:rsidR="007E116A" w:rsidRDefault="00E13FC9" w:rsidP="007E116A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Public dissemination of the country specific Gender Pay Gap analys</w:t>
            </w:r>
            <w:r w:rsidR="0022775D">
              <w:rPr>
                <w:rFonts w:eastAsia="Times New Roman" w:cstheme="minorHAnsi"/>
                <w:lang w:eastAsia="ru-RU"/>
              </w:rPr>
              <w:t>i</w:t>
            </w:r>
            <w:r>
              <w:rPr>
                <w:rFonts w:eastAsia="Times New Roman" w:cstheme="minorHAnsi"/>
                <w:lang w:eastAsia="ru-RU"/>
              </w:rPr>
              <w:t>s for Georgia.</w:t>
            </w:r>
            <w:r w:rsidR="005555FD">
              <w:rPr>
                <w:rFonts w:eastAsia="Times New Roman" w:cstheme="minorHAnsi"/>
                <w:lang w:eastAsia="ru-RU"/>
              </w:rPr>
              <w:t xml:space="preserve"> Participants will learn of the findings of the Gender Pay Gap analysis done by UN Women </w:t>
            </w:r>
            <w:r w:rsidR="001C6964">
              <w:rPr>
                <w:rFonts w:eastAsia="Times New Roman" w:cstheme="minorHAnsi"/>
                <w:lang w:eastAsia="ru-RU"/>
              </w:rPr>
              <w:t>in collaboration with</w:t>
            </w:r>
            <w:r w:rsidR="005555FD">
              <w:rPr>
                <w:rFonts w:eastAsia="Times New Roman" w:cstheme="minorHAnsi"/>
                <w:lang w:eastAsia="ru-RU"/>
              </w:rPr>
              <w:t xml:space="preserve"> the </w:t>
            </w:r>
            <w:r w:rsidR="004C684B">
              <w:rPr>
                <w:rFonts w:eastAsia="Times New Roman" w:cstheme="minorHAnsi"/>
                <w:lang w:eastAsia="ru-RU"/>
              </w:rPr>
              <w:t>GEOSTAT</w:t>
            </w:r>
            <w:r w:rsidR="005555FD">
              <w:rPr>
                <w:rFonts w:eastAsia="Times New Roman" w:cstheme="minorHAnsi"/>
                <w:lang w:eastAsia="ru-RU"/>
              </w:rPr>
              <w:t>.</w:t>
            </w:r>
          </w:p>
          <w:p w14:paraId="17F48CC8" w14:textId="0BE7DFFD" w:rsidR="00AD4735" w:rsidRPr="007E116A" w:rsidRDefault="00E907D5" w:rsidP="002327A1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E907D5">
              <w:rPr>
                <w:rFonts w:eastAsia="Times New Roman" w:cstheme="minorHAnsi"/>
                <w:lang w:eastAsia="ru-RU"/>
              </w:rPr>
              <w:t xml:space="preserve">Participants will </w:t>
            </w:r>
            <w:r w:rsidR="005555FD">
              <w:rPr>
                <w:rFonts w:eastAsia="Times New Roman" w:cstheme="minorHAnsi"/>
                <w:lang w:eastAsia="ru-RU"/>
              </w:rPr>
              <w:t>discuss the role of various actors in address the GPG and discuss Georgian and international best practice</w:t>
            </w:r>
          </w:p>
        </w:tc>
      </w:tr>
    </w:tbl>
    <w:p w14:paraId="212447BC" w14:textId="77777777" w:rsidR="009B1D4F" w:rsidRPr="00BD5D70" w:rsidRDefault="009B1D4F" w:rsidP="00BD5D70">
      <w:pPr>
        <w:jc w:val="both"/>
        <w:rPr>
          <w:rFonts w:cstheme="minorHAnsi"/>
        </w:rPr>
      </w:pPr>
    </w:p>
    <w:p w14:paraId="07E0CBD2" w14:textId="77777777" w:rsidR="00B03951" w:rsidRPr="00B03951" w:rsidRDefault="00B03951" w:rsidP="00BD5D70">
      <w:pPr>
        <w:jc w:val="both"/>
        <w:rPr>
          <w:rFonts w:cstheme="minorHAnsi"/>
          <w:b/>
        </w:rPr>
      </w:pPr>
      <w:r w:rsidRPr="00B03951">
        <w:rPr>
          <w:rFonts w:cstheme="minorHAnsi"/>
          <w:b/>
        </w:rPr>
        <w:t>BACKGROUND</w:t>
      </w:r>
    </w:p>
    <w:p w14:paraId="63CB7457" w14:textId="385A4946" w:rsidR="005F0B63" w:rsidRDefault="005555FD" w:rsidP="00E907D5">
      <w:pPr>
        <w:spacing w:after="0"/>
        <w:jc w:val="both"/>
        <w:rPr>
          <w:rFonts w:cstheme="minorHAnsi"/>
          <w:bCs/>
        </w:rPr>
      </w:pPr>
      <w:r>
        <w:rPr>
          <w:rFonts w:cstheme="minorHAnsi"/>
        </w:rPr>
        <w:t xml:space="preserve">The conference is organized in the framework of </w:t>
      </w:r>
      <w:r w:rsidR="00E907D5" w:rsidRPr="00E907D5">
        <w:rPr>
          <w:rFonts w:cstheme="minorHAnsi"/>
          <w:bCs/>
        </w:rPr>
        <w:t>the project “Women’s Economic Empowerment in the South Caucasus”</w:t>
      </w:r>
      <w:r w:rsidR="00674399">
        <w:rPr>
          <w:rFonts w:cstheme="minorHAnsi"/>
          <w:bCs/>
        </w:rPr>
        <w:t xml:space="preserve"> (WEESC)</w:t>
      </w:r>
      <w:r w:rsidR="00E907D5" w:rsidRPr="00E907D5">
        <w:rPr>
          <w:rFonts w:cstheme="minorHAnsi"/>
          <w:bCs/>
        </w:rPr>
        <w:t xml:space="preserve"> funded by the Swiss Agency for Development and Cooperation (SDC) and Austrian Development Cooperation </w:t>
      </w:r>
      <w:r w:rsidR="00E476FE">
        <w:rPr>
          <w:rFonts w:cstheme="minorHAnsi"/>
          <w:bCs/>
        </w:rPr>
        <w:t xml:space="preserve">through the Austrian Development Agency </w:t>
      </w:r>
      <w:r w:rsidR="00E907D5" w:rsidRPr="00E907D5">
        <w:rPr>
          <w:rFonts w:cstheme="minorHAnsi"/>
          <w:bCs/>
        </w:rPr>
        <w:t>(ADA)</w:t>
      </w:r>
      <w:r>
        <w:rPr>
          <w:rFonts w:cstheme="minorHAnsi"/>
          <w:bCs/>
        </w:rPr>
        <w:t xml:space="preserve"> and implemented by UN Women</w:t>
      </w:r>
      <w:r w:rsidR="00E907D5" w:rsidRPr="00E907D5">
        <w:rPr>
          <w:rFonts w:cstheme="minorHAnsi"/>
          <w:bCs/>
        </w:rPr>
        <w:t xml:space="preserve">. The objective of the </w:t>
      </w:r>
      <w:r>
        <w:rPr>
          <w:rFonts w:cstheme="minorHAnsi"/>
          <w:bCs/>
        </w:rPr>
        <w:t xml:space="preserve">conference is the provide a platform to discuss </w:t>
      </w:r>
      <w:r w:rsidR="004C684B">
        <w:rPr>
          <w:rFonts w:cstheme="minorHAnsi"/>
          <w:bCs/>
        </w:rPr>
        <w:t>the</w:t>
      </w:r>
      <w:r>
        <w:rPr>
          <w:rFonts w:cstheme="minorHAnsi"/>
          <w:bCs/>
        </w:rPr>
        <w:t xml:space="preserve"> Gender Pay Gap (GPG) in Georgia. </w:t>
      </w:r>
      <w:r w:rsidR="00E907D5" w:rsidRPr="00E907D5">
        <w:rPr>
          <w:rFonts w:cstheme="minorHAnsi"/>
          <w:bCs/>
        </w:rPr>
        <w:t xml:space="preserve"> </w:t>
      </w:r>
      <w:r>
        <w:rPr>
          <w:rFonts w:cstheme="minorHAnsi"/>
          <w:bCs/>
        </w:rPr>
        <w:t>The key target audience will be</w:t>
      </w:r>
      <w:r w:rsidR="005A7792">
        <w:rPr>
          <w:rFonts w:cstheme="minorHAnsi"/>
          <w:bCs/>
        </w:rPr>
        <w:t xml:space="preserve"> Government Ministries and Agencies</w:t>
      </w:r>
      <w:r w:rsidR="001C6964">
        <w:rPr>
          <w:rFonts w:cstheme="minorHAnsi"/>
          <w:bCs/>
        </w:rPr>
        <w:t>, the Parliament</w:t>
      </w:r>
      <w:r w:rsidR="00D30C89">
        <w:rPr>
          <w:rFonts w:cstheme="minorHAnsi"/>
          <w:bCs/>
        </w:rPr>
        <w:t xml:space="preserve"> and the private sector</w:t>
      </w:r>
      <w:r w:rsidR="0063650E">
        <w:rPr>
          <w:rFonts w:cstheme="minorHAnsi"/>
          <w:bCs/>
        </w:rPr>
        <w:t xml:space="preserve">. </w:t>
      </w:r>
    </w:p>
    <w:p w14:paraId="53C20C36" w14:textId="565B4643" w:rsidR="00115E51" w:rsidRDefault="00115E51" w:rsidP="00E907D5">
      <w:pPr>
        <w:spacing w:after="0"/>
        <w:jc w:val="both"/>
        <w:rPr>
          <w:rFonts w:cstheme="minorHAnsi"/>
          <w:bCs/>
        </w:rPr>
      </w:pPr>
    </w:p>
    <w:p w14:paraId="05D606BB" w14:textId="19D9B403" w:rsidR="00E476FE" w:rsidRDefault="00115E51" w:rsidP="00275A7C">
      <w:pPr>
        <w:jc w:val="both"/>
      </w:pPr>
      <w:r>
        <w:t>The event will gather</w:t>
      </w:r>
      <w:r w:rsidR="00E476FE">
        <w:t xml:space="preserve"> representatives from the Parliament of Georgia, </w:t>
      </w:r>
      <w:r>
        <w:t xml:space="preserve"> </w:t>
      </w:r>
      <w:r w:rsidR="00EA12F5">
        <w:t>the</w:t>
      </w:r>
      <w:r>
        <w:t xml:space="preserve"> government agencies</w:t>
      </w:r>
      <w:r w:rsidR="00EA12F5">
        <w:t xml:space="preserve"> </w:t>
      </w:r>
      <w:r w:rsidR="00E476FE">
        <w:rPr>
          <w:rFonts w:cstheme="minorHAnsi"/>
          <w:bCs/>
        </w:rPr>
        <w:t>that are involved in policy level decisions, data production and analysis on the GPG</w:t>
      </w:r>
      <w:r w:rsidR="00E476FE">
        <w:t xml:space="preserve"> </w:t>
      </w:r>
      <w:r w:rsidR="004C684B">
        <w:t>in</w:t>
      </w:r>
      <w:r w:rsidR="00EA12F5">
        <w:t xml:space="preserve"> </w:t>
      </w:r>
      <w:r w:rsidR="00E476FE">
        <w:t>Georgia</w:t>
      </w:r>
      <w:r w:rsidR="00147ED5">
        <w:t xml:space="preserve"> (i.e. Ministr</w:t>
      </w:r>
      <w:r w:rsidR="00E476FE">
        <w:t>y of</w:t>
      </w:r>
      <w:r w:rsidR="00147ED5">
        <w:t xml:space="preserve"> Economy</w:t>
      </w:r>
      <w:r w:rsidR="00151010">
        <w:t xml:space="preserve"> and Sustainable Development (</w:t>
      </w:r>
      <w:proofErr w:type="spellStart"/>
      <w:r w:rsidR="00151010">
        <w:t>MoESD</w:t>
      </w:r>
      <w:proofErr w:type="spellEnd"/>
      <w:r w:rsidR="00151010">
        <w:t>)</w:t>
      </w:r>
      <w:r w:rsidR="00E476FE">
        <w:t xml:space="preserve"> of Georgia</w:t>
      </w:r>
      <w:r w:rsidR="005411F7">
        <w:t>;</w:t>
      </w:r>
      <w:r w:rsidR="00E476FE">
        <w:t xml:space="preserve"> </w:t>
      </w:r>
      <w:r w:rsidR="00F43ECD">
        <w:t xml:space="preserve">Department of </w:t>
      </w:r>
      <w:proofErr w:type="spellStart"/>
      <w:r w:rsidR="00F43ECD">
        <w:t>Labour</w:t>
      </w:r>
      <w:proofErr w:type="spellEnd"/>
      <w:r w:rsidR="00F43ECD">
        <w:t xml:space="preserve"> under the</w:t>
      </w:r>
      <w:r w:rsidR="00E476FE">
        <w:t xml:space="preserve"> Ministry of Internally Displaced People from Occupied Territories, </w:t>
      </w:r>
      <w:r w:rsidR="00E476FE" w:rsidRPr="005411F7">
        <w:t>Labor, Health and Social Affairs</w:t>
      </w:r>
      <w:r w:rsidR="00E476FE">
        <w:t xml:space="preserve"> (</w:t>
      </w:r>
      <w:proofErr w:type="spellStart"/>
      <w:r w:rsidR="00E476FE">
        <w:t>MoIDPOTLHSA</w:t>
      </w:r>
      <w:proofErr w:type="spellEnd"/>
      <w:r w:rsidR="00E476FE">
        <w:t>) of Georgia</w:t>
      </w:r>
      <w:r w:rsidR="004C684B">
        <w:t xml:space="preserve"> and</w:t>
      </w:r>
      <w:r w:rsidR="00E476FE">
        <w:t xml:space="preserve"> GEOSTAT. In addition, the event will include representatives from the Trade Unions and Employers associations of Georgia and key civil society organizations.  </w:t>
      </w:r>
    </w:p>
    <w:p w14:paraId="31FFA1AE" w14:textId="789657E7" w:rsidR="009B2835" w:rsidRDefault="009B2835" w:rsidP="00E907D5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 </w:t>
      </w:r>
      <w:r w:rsidR="00674399">
        <w:rPr>
          <w:rFonts w:cstheme="minorHAnsi"/>
          <w:bCs/>
        </w:rPr>
        <w:t xml:space="preserve">programme will be </w:t>
      </w:r>
      <w:r w:rsidR="002C2DC5">
        <w:rPr>
          <w:rFonts w:cstheme="minorHAnsi"/>
          <w:bCs/>
        </w:rPr>
        <w:t>divided</w:t>
      </w:r>
      <w:r w:rsidR="00674399">
        <w:rPr>
          <w:rFonts w:cstheme="minorHAnsi"/>
          <w:bCs/>
        </w:rPr>
        <w:t xml:space="preserve"> into the following sections:</w:t>
      </w:r>
    </w:p>
    <w:p w14:paraId="1681D993" w14:textId="306939B4" w:rsidR="00BD6F5B" w:rsidRDefault="00BD6F5B" w:rsidP="00674399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Presentation on the stud</w:t>
      </w:r>
      <w:r w:rsidR="0077251E">
        <w:rPr>
          <w:rFonts w:cstheme="minorHAnsi"/>
          <w:bCs/>
        </w:rPr>
        <w:t>y</w:t>
      </w:r>
      <w:r w:rsidR="00E476FE">
        <w:rPr>
          <w:rFonts w:cstheme="minorHAnsi"/>
          <w:bCs/>
        </w:rPr>
        <w:t xml:space="preserve"> from Georgia </w:t>
      </w:r>
    </w:p>
    <w:p w14:paraId="67E2B948" w14:textId="24B482FA" w:rsidR="00E476FE" w:rsidRDefault="00E476FE" w:rsidP="00AE4C47">
      <w:pPr>
        <w:pStyle w:val="ListParagraph"/>
        <w:numPr>
          <w:ilvl w:val="0"/>
          <w:numId w:val="25"/>
        </w:numPr>
        <w:spacing w:after="0"/>
        <w:jc w:val="both"/>
      </w:pPr>
      <w:r w:rsidRPr="0050657A">
        <w:rPr>
          <w:rFonts w:cstheme="minorHAnsi"/>
          <w:bCs/>
        </w:rPr>
        <w:t>Panel discussion on the role of various partners</w:t>
      </w:r>
    </w:p>
    <w:p w14:paraId="2E3E7C09" w14:textId="6EE525A9" w:rsidR="00E476FE" w:rsidRPr="00E476FE" w:rsidRDefault="00E476FE" w:rsidP="00E476FE">
      <w:pPr>
        <w:rPr>
          <w:rFonts w:cstheme="minorHAnsi"/>
        </w:rPr>
        <w:sectPr w:rsidR="00E476FE" w:rsidRPr="00E476FE" w:rsidSect="0050657A">
          <w:headerReference w:type="default" r:id="rId14"/>
          <w:footerReference w:type="default" r:id="rId15"/>
          <w:pgSz w:w="11906" w:h="16838" w:code="9"/>
          <w:pgMar w:top="1890" w:right="1286" w:bottom="720" w:left="1170" w:header="708" w:footer="708" w:gutter="0"/>
          <w:cols w:space="708"/>
          <w:titlePg/>
          <w:docGrid w:linePitch="360"/>
        </w:sectPr>
      </w:pPr>
    </w:p>
    <w:p w14:paraId="7FAEC39B" w14:textId="2D7EF1EB" w:rsidR="005455EB" w:rsidRDefault="00114272" w:rsidP="005455E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noProof/>
          <w:lang w:val="en-GB"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7A51A5D4" wp14:editId="267B66EC">
            <wp:simplePos x="0" y="0"/>
            <wp:positionH relativeFrom="column">
              <wp:posOffset>1917065</wp:posOffset>
            </wp:positionH>
            <wp:positionV relativeFrom="page">
              <wp:posOffset>342900</wp:posOffset>
            </wp:positionV>
            <wp:extent cx="2346998" cy="1153236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ustrian_Development_Agency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115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2CBAFE0D" wp14:editId="2A8D4912">
            <wp:simplePos x="0" y="0"/>
            <wp:positionH relativeFrom="margin">
              <wp:align>left</wp:align>
            </wp:positionH>
            <wp:positionV relativeFrom="page">
              <wp:posOffset>516255</wp:posOffset>
            </wp:positionV>
            <wp:extent cx="1880102" cy="84518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_RGB_hoch_po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02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2C5E" w14:textId="77777777" w:rsidR="005455EB" w:rsidRDefault="005455EB" w:rsidP="005455EB">
      <w:pPr>
        <w:spacing w:after="0" w:line="240" w:lineRule="auto"/>
        <w:jc w:val="both"/>
        <w:rPr>
          <w:rFonts w:cstheme="minorHAnsi"/>
          <w:b/>
        </w:rPr>
      </w:pPr>
    </w:p>
    <w:p w14:paraId="605D4925" w14:textId="5FF87767" w:rsidR="00EF591A" w:rsidRDefault="00105808" w:rsidP="005455EB">
      <w:pPr>
        <w:spacing w:after="0" w:line="240" w:lineRule="auto"/>
        <w:jc w:val="both"/>
        <w:rPr>
          <w:rFonts w:cstheme="minorHAnsi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0A997EA5" wp14:editId="6CE62537">
            <wp:simplePos x="0" y="0"/>
            <wp:positionH relativeFrom="column">
              <wp:posOffset>4397375</wp:posOffset>
            </wp:positionH>
            <wp:positionV relativeFrom="page">
              <wp:posOffset>487680</wp:posOffset>
            </wp:positionV>
            <wp:extent cx="1961515" cy="945938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_Women_English_Blue_TransparentBackground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94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61998" w14:textId="361DA734" w:rsidR="00EF591A" w:rsidRPr="00EF591A" w:rsidRDefault="00EF591A" w:rsidP="00EF591A">
      <w:pPr>
        <w:jc w:val="center"/>
      </w:pPr>
      <w:r w:rsidRPr="00196166">
        <w:rPr>
          <w:rFonts w:ascii="Sylfaen" w:hAnsi="Sylfaen" w:cs="Sylfaen"/>
          <w:color w:val="595959" w:themeColor="text1" w:themeTint="A6"/>
          <w:sz w:val="28"/>
          <w:szCs w:val="28"/>
        </w:rPr>
        <w:t>Women’s Economic Empowerment in the South Caucasus</w:t>
      </w:r>
      <w:bookmarkStart w:id="2" w:name="_Hlk530499460"/>
      <w:bookmarkEnd w:id="2"/>
    </w:p>
    <w:p w14:paraId="473494C3" w14:textId="2EDCF0B9" w:rsidR="00F0647F" w:rsidRDefault="0077251E" w:rsidP="00F0647F">
      <w:pPr>
        <w:pStyle w:val="Heading1"/>
        <w:spacing w:before="360"/>
        <w:ind w:left="0"/>
        <w:jc w:val="center"/>
        <w:rPr>
          <w:rFonts w:ascii="Sylfaen" w:hAnsi="Sylfaen" w:cs="Sylfaen"/>
          <w:bCs w:val="0"/>
          <w:color w:val="595959" w:themeColor="text1" w:themeTint="A6"/>
          <w:sz w:val="28"/>
          <w:szCs w:val="28"/>
        </w:rPr>
      </w:pPr>
      <w:r>
        <w:rPr>
          <w:rFonts w:ascii="Sylfaen" w:hAnsi="Sylfaen" w:cs="Sylfaen"/>
          <w:bCs w:val="0"/>
          <w:color w:val="595959" w:themeColor="text1" w:themeTint="A6"/>
          <w:sz w:val="28"/>
          <w:szCs w:val="28"/>
        </w:rPr>
        <w:t xml:space="preserve">Analysis of the </w:t>
      </w:r>
      <w:r w:rsidR="00F0647F" w:rsidRPr="00F0647F">
        <w:rPr>
          <w:rFonts w:ascii="Sylfaen" w:hAnsi="Sylfaen" w:cs="Sylfaen"/>
          <w:bCs w:val="0"/>
          <w:color w:val="595959" w:themeColor="text1" w:themeTint="A6"/>
          <w:sz w:val="28"/>
          <w:szCs w:val="28"/>
        </w:rPr>
        <w:t>Gender Pay Gap in Georgia</w:t>
      </w:r>
    </w:p>
    <w:p w14:paraId="7827CCC6" w14:textId="752A27AB" w:rsidR="00EF591A" w:rsidRPr="00201947" w:rsidRDefault="00EF591A" w:rsidP="00EF591A">
      <w:pPr>
        <w:pStyle w:val="Heading1"/>
        <w:spacing w:before="360"/>
        <w:ind w:left="0"/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</w:pPr>
      <w:r w:rsidRPr="00201947">
        <w:rPr>
          <w:rFonts w:ascii="Sylfaen" w:hAnsi="Sylfaen" w:cs="Sylfaen"/>
          <w:bCs w:val="0"/>
          <w:color w:val="595959" w:themeColor="text1" w:themeTint="A6"/>
          <w:sz w:val="22"/>
          <w:szCs w:val="22"/>
        </w:rPr>
        <w:t>Venue:</w:t>
      </w:r>
      <w:r w:rsidRPr="00201947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 xml:space="preserve"> 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 xml:space="preserve">Ballroom 2, Courtyard Marriot Hotel, Tbilisi, Georgia </w:t>
      </w:r>
    </w:p>
    <w:p w14:paraId="29E7C390" w14:textId="0E9FC631" w:rsidR="00EF591A" w:rsidRPr="00201947" w:rsidRDefault="00EF591A" w:rsidP="00EF591A">
      <w:pPr>
        <w:pStyle w:val="Heading1"/>
        <w:spacing w:before="0"/>
        <w:ind w:left="0"/>
        <w:rPr>
          <w:rFonts w:ascii="Sylfaen" w:hAnsi="Sylfaen" w:cs="Sylfaen"/>
          <w:bCs w:val="0"/>
          <w:color w:val="595959" w:themeColor="text1" w:themeTint="A6"/>
          <w:sz w:val="22"/>
          <w:szCs w:val="22"/>
        </w:rPr>
      </w:pPr>
      <w:r w:rsidRPr="00201947">
        <w:rPr>
          <w:rFonts w:ascii="Sylfaen" w:hAnsi="Sylfaen" w:cs="Sylfaen"/>
          <w:bCs w:val="0"/>
          <w:color w:val="595959" w:themeColor="text1" w:themeTint="A6"/>
          <w:sz w:val="22"/>
          <w:szCs w:val="22"/>
        </w:rPr>
        <w:t xml:space="preserve">Date: 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16</w:t>
      </w:r>
      <w:r w:rsidRPr="00201947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 xml:space="preserve"> 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March</w:t>
      </w:r>
      <w:r w:rsidR="00F0647F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 xml:space="preserve"> 2020</w:t>
      </w:r>
    </w:p>
    <w:p w14:paraId="3B463A10" w14:textId="4E29E93E" w:rsidR="00EF591A" w:rsidRPr="00201947" w:rsidRDefault="00EF591A" w:rsidP="00EF591A">
      <w:pPr>
        <w:pStyle w:val="Heading1"/>
        <w:spacing w:before="0"/>
        <w:ind w:left="0"/>
        <w:rPr>
          <w:rFonts w:ascii="Sylfaen" w:hAnsi="Sylfaen" w:cs="Sylfaen"/>
          <w:bCs w:val="0"/>
          <w:color w:val="595959" w:themeColor="text1" w:themeTint="A6"/>
          <w:sz w:val="22"/>
          <w:szCs w:val="22"/>
        </w:rPr>
      </w:pPr>
      <w:r w:rsidRPr="00201947">
        <w:rPr>
          <w:rFonts w:ascii="Sylfaen" w:hAnsi="Sylfaen" w:cs="Sylfaen"/>
          <w:bCs w:val="0"/>
          <w:color w:val="595959" w:themeColor="text1" w:themeTint="A6"/>
          <w:sz w:val="22"/>
          <w:szCs w:val="22"/>
        </w:rPr>
        <w:t xml:space="preserve">Time: </w:t>
      </w:r>
      <w:r w:rsidR="00A875EF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1</w:t>
      </w:r>
      <w:r w:rsidR="00D44F0F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4</w:t>
      </w:r>
      <w:r w:rsidRPr="00201947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:</w:t>
      </w:r>
      <w:r w:rsidR="00D44F0F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00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 xml:space="preserve"> – 1</w:t>
      </w:r>
      <w:r w:rsidR="00902761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6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:</w:t>
      </w:r>
      <w:r w:rsidR="00902761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3</w:t>
      </w:r>
      <w:r w:rsidR="001C6964">
        <w:rPr>
          <w:rFonts w:ascii="Sylfaen" w:hAnsi="Sylfaen" w:cs="Sylfaen"/>
          <w:b w:val="0"/>
          <w:bCs w:val="0"/>
          <w:color w:val="595959" w:themeColor="text1" w:themeTint="A6"/>
          <w:sz w:val="22"/>
          <w:szCs w:val="22"/>
        </w:rPr>
        <w:t>0</w:t>
      </w:r>
    </w:p>
    <w:p w14:paraId="4A73E440" w14:textId="5A0F5934" w:rsidR="00E907D5" w:rsidRPr="00732E2E" w:rsidRDefault="00732E2E" w:rsidP="00732E2E">
      <w:pPr>
        <w:pStyle w:val="Heading1"/>
        <w:spacing w:before="0"/>
        <w:ind w:left="0" w:right="0"/>
        <w:rPr>
          <w:rFonts w:ascii="Sylfaen" w:hAnsi="Sylfaen" w:cs="Sylfaen"/>
          <w:bCs w:val="0"/>
          <w:color w:val="595959" w:themeColor="text1" w:themeTint="A6"/>
          <w:sz w:val="24"/>
          <w:szCs w:val="28"/>
        </w:rPr>
      </w:pPr>
      <w:r w:rsidRPr="00732E2E">
        <w:rPr>
          <w:rFonts w:ascii="Sylfaen" w:hAnsi="Sylfaen" w:cs="Sylfaen"/>
          <w:bCs w:val="0"/>
          <w:color w:val="595959" w:themeColor="text1" w:themeTint="A6"/>
          <w:sz w:val="24"/>
          <w:szCs w:val="28"/>
        </w:rPr>
        <w:t>Agenda</w:t>
      </w:r>
      <w:r w:rsidR="00EF591A" w:rsidRPr="00732E2E">
        <w:rPr>
          <w:rFonts w:ascii="Sylfaen" w:hAnsi="Sylfaen" w:cs="Sylfaen"/>
          <w:bCs w:val="0"/>
          <w:color w:val="595959" w:themeColor="text1" w:themeTint="A6"/>
          <w:sz w:val="24"/>
          <w:szCs w:val="28"/>
        </w:rPr>
        <w:t xml:space="preserve">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800"/>
        <w:gridCol w:w="7285"/>
      </w:tblGrid>
      <w:tr w:rsidR="002811D0" w:rsidRPr="002811D0" w14:paraId="47C45731" w14:textId="77777777" w:rsidTr="002811D0">
        <w:tc>
          <w:tcPr>
            <w:tcW w:w="1800" w:type="dxa"/>
          </w:tcPr>
          <w:p w14:paraId="6BDAB6B1" w14:textId="0408EC32" w:rsidR="002811D0" w:rsidRPr="00114272" w:rsidRDefault="002811D0" w:rsidP="00627B15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7285" w:type="dxa"/>
          </w:tcPr>
          <w:p w14:paraId="409FA687" w14:textId="77777777" w:rsidR="002811D0" w:rsidRPr="00114272" w:rsidRDefault="002811D0" w:rsidP="00627B15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Item</w:t>
            </w:r>
          </w:p>
        </w:tc>
      </w:tr>
      <w:tr w:rsidR="002811D0" w:rsidRPr="002811D0" w14:paraId="4008DA62" w14:textId="77777777" w:rsidTr="002811D0">
        <w:tc>
          <w:tcPr>
            <w:tcW w:w="1800" w:type="dxa"/>
          </w:tcPr>
          <w:p w14:paraId="5251DDF3" w14:textId="50717C36" w:rsidR="002811D0" w:rsidRPr="00114272" w:rsidRDefault="0077251E" w:rsidP="00627B15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4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:0</w:t>
            </w:r>
            <w:r w:rsidR="002811D0"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0-1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4</w:t>
            </w:r>
            <w:r w:rsidR="002811D0"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: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2811D0"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7285" w:type="dxa"/>
          </w:tcPr>
          <w:p w14:paraId="29BC8361" w14:textId="661EACA9" w:rsidR="002811D0" w:rsidRPr="00114272" w:rsidRDefault="0077251E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Welcome coffee + Registration</w:t>
            </w:r>
          </w:p>
        </w:tc>
      </w:tr>
      <w:tr w:rsidR="0077251E" w:rsidRPr="002811D0" w14:paraId="20CF8715" w14:textId="77777777" w:rsidTr="002811D0">
        <w:tc>
          <w:tcPr>
            <w:tcW w:w="1800" w:type="dxa"/>
            <w:vMerge w:val="restart"/>
          </w:tcPr>
          <w:p w14:paraId="04F80935" w14:textId="260DCDF4" w:rsidR="0077251E" w:rsidRPr="00114272" w:rsidRDefault="001C6964" w:rsidP="008D20DA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14</w:t>
            </w:r>
            <w:r w:rsidR="0077251E"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:</w:t>
            </w:r>
            <w:r w:rsidR="0077251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77251E"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0 – 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15:30</w:t>
            </w:r>
          </w:p>
          <w:p w14:paraId="2EAEB9A5" w14:textId="0086863F" w:rsidR="0077251E" w:rsidRPr="00114272" w:rsidRDefault="0077251E" w:rsidP="00C97CB4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285" w:type="dxa"/>
          </w:tcPr>
          <w:p w14:paraId="0014B2D5" w14:textId="77777777" w:rsidR="0077251E" w:rsidRPr="00114272" w:rsidRDefault="0077251E" w:rsidP="00627B15">
            <w:pPr>
              <w:jc w:val="both"/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Opening session </w:t>
            </w:r>
          </w:p>
          <w:p w14:paraId="351D3839" w14:textId="77777777" w:rsidR="0077251E" w:rsidRPr="00114272" w:rsidRDefault="0077251E" w:rsidP="002811D0">
            <w:pPr>
              <w:ind w:left="360"/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Opening remarks</w:t>
            </w:r>
          </w:p>
          <w:p w14:paraId="3D59FBB2" w14:textId="309AF4B0" w:rsidR="00D44F0F" w:rsidRPr="00A875EF" w:rsidRDefault="00D44F0F" w:rsidP="00D44F0F">
            <w:pPr>
              <w:pStyle w:val="ListParagraph"/>
              <w:numPr>
                <w:ilvl w:val="0"/>
                <w:numId w:val="26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Nino Tsilosani,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Member of Parliament, 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Ch</w:t>
            </w:r>
            <w:r w:rsidR="00FE70EB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ir of the 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Gender Equality Council (TBC)</w:t>
            </w:r>
          </w:p>
          <w:p w14:paraId="7C1C3C42" w14:textId="7386D81E" w:rsidR="0077251E" w:rsidRDefault="001C6964" w:rsidP="00A875EF">
            <w:pPr>
              <w:pStyle w:val="ListParagraph"/>
              <w:numPr>
                <w:ilvl w:val="0"/>
                <w:numId w:val="26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Tamar Barkalaia, Deputy</w:t>
            </w:r>
            <w:r w:rsidR="0077251E"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Minister of IDPs from the Occupied Territories, </w:t>
            </w:r>
            <w:proofErr w:type="spellStart"/>
            <w:r w:rsidR="0077251E"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Labour</w:t>
            </w:r>
            <w:proofErr w:type="spellEnd"/>
            <w:r w:rsidR="0077251E"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, Health and Social Affairs of Georgia </w:t>
            </w:r>
          </w:p>
          <w:p w14:paraId="5A272836" w14:textId="6F852B31" w:rsidR="0077251E" w:rsidRPr="00A875EF" w:rsidRDefault="0077251E" w:rsidP="00A875EF">
            <w:pPr>
              <w:pStyle w:val="ListParagraph"/>
              <w:numPr>
                <w:ilvl w:val="0"/>
                <w:numId w:val="26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Danielle Meuwly, Regional Director, Swiss Cooperation Office for the South Caucasus</w:t>
            </w:r>
          </w:p>
          <w:p w14:paraId="2B3E8AFE" w14:textId="683CB329" w:rsidR="0077251E" w:rsidRPr="00A875EF" w:rsidRDefault="0077251E" w:rsidP="00A875EF">
            <w:pPr>
              <w:pStyle w:val="ListParagraph"/>
              <w:numPr>
                <w:ilvl w:val="0"/>
                <w:numId w:val="26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Ambassador of Austria to Georgia (TBC)</w:t>
            </w:r>
          </w:p>
          <w:p w14:paraId="20741828" w14:textId="39076B64" w:rsidR="0077251E" w:rsidRPr="004004AE" w:rsidRDefault="0077251E" w:rsidP="004004AE">
            <w:pPr>
              <w:ind w:left="360"/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M</w:t>
            </w:r>
            <w:r w:rsidRPr="004004A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oderator: </w:t>
            </w:r>
            <w:r w:rsidR="001C6964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Tamar Sabedashvili</w:t>
            </w:r>
            <w:r w:rsidRPr="004004A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, UN Women </w:t>
            </w:r>
            <w:r w:rsidR="00FE70EB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Deputy </w:t>
            </w:r>
            <w:r w:rsidRPr="004004A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Representative, Georgia</w:t>
            </w:r>
          </w:p>
        </w:tc>
      </w:tr>
      <w:tr w:rsidR="0077251E" w:rsidRPr="002811D0" w14:paraId="789E9657" w14:textId="77777777" w:rsidTr="00C97CB4">
        <w:tc>
          <w:tcPr>
            <w:tcW w:w="1800" w:type="dxa"/>
            <w:vMerge/>
          </w:tcPr>
          <w:p w14:paraId="0C577DD4" w14:textId="7E22C78B" w:rsidR="0077251E" w:rsidRPr="00114272" w:rsidRDefault="0077251E" w:rsidP="00C97CB4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285" w:type="dxa"/>
          </w:tcPr>
          <w:p w14:paraId="1382EE88" w14:textId="77777777" w:rsidR="0077251E" w:rsidRPr="00114272" w:rsidRDefault="0077251E" w:rsidP="00C97CB4">
            <w:pPr>
              <w:jc w:val="both"/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  <w:t>Presentation of study findings</w:t>
            </w:r>
          </w:p>
          <w:p w14:paraId="210599F2" w14:textId="24126F2D" w:rsidR="0077251E" w:rsidRPr="00114272" w:rsidRDefault="0077251E" w:rsidP="00C97CB4">
            <w:pPr>
              <w:pStyle w:val="ListParagraph"/>
              <w:numPr>
                <w:ilvl w:val="0"/>
                <w:numId w:val="27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Decomposition of the Gender Pay Gap in Georgia – </w:t>
            </w:r>
            <w:r w:rsid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Marjan Petreski, Consultant, 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UN Women</w:t>
            </w:r>
          </w:p>
          <w:p w14:paraId="6EEF97C7" w14:textId="77777777" w:rsidR="0077251E" w:rsidRPr="008D20DA" w:rsidRDefault="0077251E" w:rsidP="00C97CB4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8D20DA"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Q</w:t>
            </w:r>
            <w:r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&amp;A</w:t>
            </w:r>
            <w:r w:rsidRPr="008D20DA"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 session</w:t>
            </w:r>
          </w:p>
        </w:tc>
      </w:tr>
      <w:tr w:rsidR="0077251E" w:rsidRPr="002811D0" w14:paraId="649AC8CF" w14:textId="77777777" w:rsidTr="002811D0">
        <w:tc>
          <w:tcPr>
            <w:tcW w:w="1800" w:type="dxa"/>
          </w:tcPr>
          <w:p w14:paraId="0529307D" w14:textId="67201B77" w:rsidR="0077251E" w:rsidRPr="00114272" w:rsidRDefault="0077251E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1223B0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5:</w:t>
            </w:r>
            <w:r w:rsidR="00986C77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30</w:t>
            </w: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– 1</w:t>
            </w:r>
            <w:r w:rsidR="001223B0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6:</w:t>
            </w:r>
            <w:r w:rsidR="00986C77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30</w:t>
            </w:r>
          </w:p>
        </w:tc>
        <w:tc>
          <w:tcPr>
            <w:tcW w:w="7285" w:type="dxa"/>
          </w:tcPr>
          <w:p w14:paraId="6424EC56" w14:textId="23D2DE6E" w:rsidR="00D44F0F" w:rsidRDefault="00D44F0F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D44F0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Presentation: Policy implications: addressing the Gender Pay Gap</w:t>
            </w:r>
            <w:r w:rsid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16599E" w:rsidRP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– Li</w:t>
            </w:r>
            <w:r w:rsid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</w:t>
            </w:r>
            <w:r w:rsidR="0016599E" w:rsidRP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599E" w:rsidRP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Jalaghania</w:t>
            </w:r>
            <w:proofErr w:type="spellEnd"/>
            <w:r w:rsidR="0016599E" w:rsidRP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, Consultant, UN Women  </w:t>
            </w:r>
          </w:p>
          <w:p w14:paraId="319ABA9A" w14:textId="77777777" w:rsidR="00D44F0F" w:rsidRPr="00D44F0F" w:rsidRDefault="00D44F0F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5D5D571C" w14:textId="74D68122" w:rsidR="0077251E" w:rsidRPr="00114272" w:rsidRDefault="0077251E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  <w:t>Panel Discussion</w:t>
            </w: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: Addressing the Gender Pay Gap – What </w:t>
            </w:r>
            <w:r w:rsidR="00D44F0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are can be done</w:t>
            </w: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?</w:t>
            </w:r>
          </w:p>
          <w:p w14:paraId="60E3B5EC" w14:textId="3C64100C" w:rsidR="0077251E" w:rsidRPr="00114272" w:rsidRDefault="0077251E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Moderator: </w:t>
            </w:r>
            <w:r w:rsidR="00D44F0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TBD</w:t>
            </w:r>
          </w:p>
          <w:p w14:paraId="25C25CD7" w14:textId="77777777" w:rsidR="0016599E" w:rsidRDefault="0016599E" w:rsidP="0016599E">
            <w:pPr>
              <w:pStyle w:val="ListParagraph"/>
              <w:numPr>
                <w:ilvl w:val="0"/>
                <w:numId w:val="28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Tamar Barkalaia, The Deputy</w:t>
            </w:r>
            <w:r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Minister of IDPs from the Occupied Territories, </w:t>
            </w:r>
            <w:proofErr w:type="spellStart"/>
            <w:r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Labour</w:t>
            </w:r>
            <w:proofErr w:type="spellEnd"/>
            <w:r w:rsidRPr="00A875EF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, Health and Social Affairs of Georgia </w:t>
            </w:r>
          </w:p>
          <w:p w14:paraId="699547BB" w14:textId="29086E16" w:rsidR="00D44F0F" w:rsidRDefault="00D44F0F" w:rsidP="0016599E">
            <w:pPr>
              <w:pStyle w:val="ListParagraph"/>
              <w:numPr>
                <w:ilvl w:val="0"/>
                <w:numId w:val="28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AA7EAD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Lela Akiashvili 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="00FA0D7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</w:t>
            </w:r>
            <w:r w:rsidR="00FA0D7E" w:rsidRPr="00FA0D7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dvisor to the Prime Minister of Georgia on Human Rights and Gender E</w:t>
            </w:r>
            <w:bookmarkStart w:id="3" w:name="_GoBack"/>
            <w:bookmarkEnd w:id="3"/>
            <w:r w:rsidR="00FA0D7E" w:rsidRPr="00FA0D7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quality Issues</w:t>
            </w: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23494794" w14:textId="00B235C4" w:rsidR="0077251E" w:rsidRDefault="0077251E" w:rsidP="0016599E">
            <w:pPr>
              <w:pStyle w:val="ListParagraph"/>
              <w:numPr>
                <w:ilvl w:val="0"/>
                <w:numId w:val="28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14272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Representative of Georgian Trade Unions</w:t>
            </w:r>
            <w:r w:rsid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(TBC)</w:t>
            </w:r>
          </w:p>
          <w:p w14:paraId="635F183A" w14:textId="4EE73DFB" w:rsidR="00D44F0F" w:rsidRDefault="00D44F0F" w:rsidP="0016599E">
            <w:pPr>
              <w:pStyle w:val="ListParagraph"/>
              <w:numPr>
                <w:ilvl w:val="0"/>
                <w:numId w:val="28"/>
              </w:num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Representative from Employers Association/Private Sector</w:t>
            </w:r>
            <w:r w:rsidR="0016599E"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(TBC)</w:t>
            </w:r>
          </w:p>
          <w:p w14:paraId="53359415" w14:textId="77777777" w:rsidR="0077251E" w:rsidRDefault="0077251E" w:rsidP="0077251E">
            <w:pPr>
              <w:jc w:val="both"/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8D20DA"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Q</w:t>
            </w:r>
            <w:r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&amp;A</w:t>
            </w:r>
            <w:r w:rsidRPr="008D20DA"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 session</w:t>
            </w:r>
          </w:p>
          <w:p w14:paraId="22597F06" w14:textId="77777777" w:rsidR="00902761" w:rsidRDefault="00902761" w:rsidP="0077251E">
            <w:pPr>
              <w:jc w:val="both"/>
              <w:rPr>
                <w:rStyle w:val="Heading1Char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</w:p>
          <w:p w14:paraId="1835D78C" w14:textId="7CB5CB72" w:rsidR="00902761" w:rsidRPr="00114272" w:rsidRDefault="00902761" w:rsidP="0077251E">
            <w:pPr>
              <w:jc w:val="both"/>
              <w:rPr>
                <w:rStyle w:val="Heading1Cha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Closing remarks </w:t>
            </w:r>
            <w:r w:rsidRPr="00425726">
              <w:rPr>
                <w:rStyle w:val="Heading1Char"/>
                <w:rFonts w:asciiTheme="minorHAnsi" w:hAnsiTheme="minorHAnsi" w:cstheme="minorHAnsi"/>
                <w:color w:val="auto"/>
                <w:sz w:val="22"/>
                <w:szCs w:val="22"/>
              </w:rPr>
              <w:t>(UN Women)</w:t>
            </w:r>
          </w:p>
        </w:tc>
      </w:tr>
    </w:tbl>
    <w:p w14:paraId="3DF1A356" w14:textId="77777777" w:rsidR="002811D0" w:rsidRDefault="002811D0" w:rsidP="002811D0">
      <w:pPr>
        <w:rPr>
          <w:rFonts w:cstheme="minorHAnsi"/>
        </w:rPr>
      </w:pPr>
    </w:p>
    <w:p w14:paraId="5D3BD436" w14:textId="1D4011A5" w:rsidR="002811D0" w:rsidRPr="002811D0" w:rsidRDefault="002811D0" w:rsidP="002811D0">
      <w:pPr>
        <w:rPr>
          <w:rFonts w:cstheme="minorHAnsi"/>
        </w:rPr>
        <w:sectPr w:rsidR="002811D0" w:rsidRPr="002811D0" w:rsidSect="00EF591A">
          <w:pgSz w:w="11906" w:h="16838" w:code="9"/>
          <w:pgMar w:top="1890" w:right="720" w:bottom="720" w:left="720" w:header="708" w:footer="708" w:gutter="0"/>
          <w:cols w:space="708"/>
          <w:docGrid w:linePitch="360"/>
        </w:sectPr>
      </w:pPr>
    </w:p>
    <w:p w14:paraId="39EBF203" w14:textId="2CE6BCF7" w:rsidR="009367F6" w:rsidRDefault="00400C10" w:rsidP="00BD5D70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Annex </w:t>
      </w:r>
      <w:r w:rsidR="00035A7B">
        <w:rPr>
          <w:rFonts w:cstheme="minorHAnsi"/>
          <w:b/>
        </w:rPr>
        <w:t>1</w:t>
      </w:r>
      <w:r>
        <w:rPr>
          <w:rFonts w:cstheme="minorHAnsi"/>
          <w:b/>
        </w:rPr>
        <w:t xml:space="preserve">: </w:t>
      </w:r>
      <w:r w:rsidR="00114272">
        <w:rPr>
          <w:rFonts w:cstheme="minorHAnsi"/>
          <w:b/>
        </w:rPr>
        <w:t xml:space="preserve">Potential </w:t>
      </w:r>
      <w:r w:rsidR="00114272" w:rsidRPr="00B8578C">
        <w:rPr>
          <w:rFonts w:cstheme="minorHAnsi"/>
          <w:b/>
        </w:rPr>
        <w:t>List of Participants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870"/>
        <w:gridCol w:w="6025"/>
        <w:gridCol w:w="6"/>
      </w:tblGrid>
      <w:tr w:rsidR="001B08DE" w14:paraId="49E7A49F" w14:textId="77777777" w:rsidTr="00105808">
        <w:tc>
          <w:tcPr>
            <w:tcW w:w="10436" w:type="dxa"/>
            <w:gridSpan w:val="4"/>
            <w:shd w:val="clear" w:color="auto" w:fill="9CC2E5" w:themeFill="accent1" w:themeFillTint="99"/>
          </w:tcPr>
          <w:p w14:paraId="23E60201" w14:textId="77777777" w:rsidR="001B08DE" w:rsidRDefault="001B08DE" w:rsidP="001B08DE">
            <w:pPr>
              <w:jc w:val="both"/>
            </w:pPr>
            <w:r>
              <w:t xml:space="preserve">Government representatives </w:t>
            </w:r>
          </w:p>
        </w:tc>
      </w:tr>
      <w:tr w:rsidR="001B08DE" w14:paraId="6D3C9895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4561B78E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2CD8634F" w14:textId="126D568A" w:rsidR="001B08DE" w:rsidRDefault="00E23A68" w:rsidP="001B08DE">
            <w:pPr>
              <w:jc w:val="both"/>
            </w:pPr>
            <w:r>
              <w:t>3</w:t>
            </w:r>
            <w:r w:rsidR="00D021C3">
              <w:t xml:space="preserve"> </w:t>
            </w:r>
            <w:proofErr w:type="gramStart"/>
            <w:r w:rsidR="00D021C3">
              <w:t>person</w:t>
            </w:r>
            <w:proofErr w:type="gramEnd"/>
          </w:p>
        </w:tc>
        <w:tc>
          <w:tcPr>
            <w:tcW w:w="6025" w:type="dxa"/>
          </w:tcPr>
          <w:p w14:paraId="04668D05" w14:textId="6AD48F78" w:rsidR="001B08DE" w:rsidRDefault="001B08DE" w:rsidP="001B08DE">
            <w:pPr>
              <w:jc w:val="both"/>
            </w:pPr>
            <w:r>
              <w:t>Chair</w:t>
            </w:r>
            <w:r w:rsidR="00D44F0F">
              <w:t>/Representative</w:t>
            </w:r>
            <w:r w:rsidR="00E23A68">
              <w:t>s</w:t>
            </w:r>
            <w:r>
              <w:t xml:space="preserve"> of the Parliament Gender Equality Council</w:t>
            </w:r>
          </w:p>
        </w:tc>
      </w:tr>
      <w:tr w:rsidR="001B08DE" w14:paraId="1F61FA0F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3D4BCA43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1F9B4DAD" w14:textId="35A740C3" w:rsidR="001B08DE" w:rsidRDefault="00C32643" w:rsidP="001B08DE">
            <w:pPr>
              <w:jc w:val="both"/>
            </w:pPr>
            <w:r w:rsidRPr="00C32643">
              <w:t xml:space="preserve">Lela Akiashvili </w:t>
            </w:r>
          </w:p>
        </w:tc>
        <w:tc>
          <w:tcPr>
            <w:tcW w:w="6025" w:type="dxa"/>
          </w:tcPr>
          <w:p w14:paraId="23FF9774" w14:textId="2152E710" w:rsidR="001B08DE" w:rsidRPr="00011BA8" w:rsidRDefault="001B08DE" w:rsidP="001B08DE">
            <w:pPr>
              <w:jc w:val="both"/>
            </w:pPr>
            <w:r w:rsidRPr="00011BA8">
              <w:t>Inter-Agency Commission on Gender Equality and Violence against Women and Domestic Violence</w:t>
            </w:r>
          </w:p>
        </w:tc>
      </w:tr>
      <w:tr w:rsidR="001B08DE" w14:paraId="62501D8C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4A558E93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4F4B89BF" w14:textId="41E17559" w:rsidR="001B08DE" w:rsidRDefault="00114272" w:rsidP="001B08DE">
            <w:pPr>
              <w:jc w:val="both"/>
            </w:pPr>
            <w:r w:rsidRPr="00114272">
              <w:t xml:space="preserve">Ekaterine </w:t>
            </w:r>
            <w:proofErr w:type="spellStart"/>
            <w:r w:rsidRPr="00114272">
              <w:t>Tikaradze</w:t>
            </w:r>
            <w:proofErr w:type="spellEnd"/>
          </w:p>
        </w:tc>
        <w:tc>
          <w:tcPr>
            <w:tcW w:w="6025" w:type="dxa"/>
          </w:tcPr>
          <w:p w14:paraId="1FF05741" w14:textId="6CEEACDC" w:rsidR="001B08DE" w:rsidRPr="00011BA8" w:rsidRDefault="001B08DE" w:rsidP="001B08DE">
            <w:pPr>
              <w:jc w:val="both"/>
            </w:pPr>
            <w:r w:rsidRPr="00011BA8">
              <w:t>Minist</w:t>
            </w:r>
            <w:r>
              <w:t>er</w:t>
            </w:r>
            <w:r w:rsidRPr="00011BA8">
              <w:t xml:space="preserve"> of Internally Displaced Persons from Occupied Territories, </w:t>
            </w:r>
            <w:proofErr w:type="spellStart"/>
            <w:r w:rsidRPr="00011BA8">
              <w:t>Labour</w:t>
            </w:r>
            <w:proofErr w:type="spellEnd"/>
            <w:r w:rsidRPr="00011BA8">
              <w:t>, Health and Social Affairs</w:t>
            </w:r>
          </w:p>
        </w:tc>
      </w:tr>
      <w:tr w:rsidR="001B08DE" w14:paraId="4D412B21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6F3523C4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64AA1056" w14:textId="15AB2413" w:rsidR="001B08DE" w:rsidRDefault="00114272" w:rsidP="001B08DE">
            <w:pPr>
              <w:jc w:val="both"/>
            </w:pPr>
            <w:r w:rsidRPr="00114272">
              <w:t xml:space="preserve">Natia </w:t>
            </w:r>
            <w:proofErr w:type="spellStart"/>
            <w:r w:rsidRPr="00114272">
              <w:t>Turnava</w:t>
            </w:r>
            <w:proofErr w:type="spellEnd"/>
          </w:p>
        </w:tc>
        <w:tc>
          <w:tcPr>
            <w:tcW w:w="6025" w:type="dxa"/>
          </w:tcPr>
          <w:p w14:paraId="6B419013" w14:textId="5B9012C4" w:rsidR="001B08DE" w:rsidRPr="00011BA8" w:rsidRDefault="001B08DE" w:rsidP="001B08DE">
            <w:pPr>
              <w:jc w:val="both"/>
            </w:pPr>
            <w:r w:rsidRPr="00011BA8">
              <w:t>Minist</w:t>
            </w:r>
            <w:r>
              <w:t>er</w:t>
            </w:r>
            <w:r w:rsidRPr="00011BA8">
              <w:t xml:space="preserve"> of Economy and Sustainable Development (</w:t>
            </w:r>
            <w:proofErr w:type="spellStart"/>
            <w:r w:rsidRPr="00011BA8">
              <w:t>MoESD</w:t>
            </w:r>
            <w:proofErr w:type="spellEnd"/>
            <w:r w:rsidRPr="00011BA8">
              <w:t>)</w:t>
            </w:r>
          </w:p>
        </w:tc>
      </w:tr>
      <w:tr w:rsidR="001B08DE" w14:paraId="0E184CC7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48B68CEE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1E496998" w14:textId="5036475C" w:rsidR="001B08DE" w:rsidRDefault="00D44F0F" w:rsidP="001B08DE">
            <w:pPr>
              <w:jc w:val="both"/>
            </w:pPr>
            <w:r>
              <w:t>5</w:t>
            </w:r>
            <w:r w:rsidR="001B08DE">
              <w:t xml:space="preserve"> people</w:t>
            </w:r>
          </w:p>
        </w:tc>
        <w:tc>
          <w:tcPr>
            <w:tcW w:w="6025" w:type="dxa"/>
          </w:tcPr>
          <w:p w14:paraId="0164AB9D" w14:textId="77777777" w:rsidR="001B08DE" w:rsidRDefault="001B08DE" w:rsidP="001B08DE">
            <w:pPr>
              <w:jc w:val="both"/>
            </w:pPr>
            <w:r w:rsidRPr="00011BA8">
              <w:t>Ministry of Economy and Sustainable Development (</w:t>
            </w:r>
            <w:proofErr w:type="spellStart"/>
            <w:r w:rsidRPr="00011BA8">
              <w:t>MoESD</w:t>
            </w:r>
            <w:proofErr w:type="spellEnd"/>
            <w:r w:rsidRPr="00011BA8">
              <w:t>)</w:t>
            </w:r>
          </w:p>
        </w:tc>
      </w:tr>
      <w:tr w:rsidR="001B08DE" w14:paraId="23220615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432FA500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15D9BACF" w14:textId="6CA8C166" w:rsidR="001B08DE" w:rsidRDefault="00D44F0F" w:rsidP="001B08DE">
            <w:r>
              <w:rPr>
                <w:lang w:val="it-IT"/>
              </w:rPr>
              <w:t>5</w:t>
            </w:r>
            <w:r w:rsidR="001B08DE">
              <w:rPr>
                <w:lang w:val="it-IT"/>
              </w:rPr>
              <w:t xml:space="preserve"> people</w:t>
            </w:r>
          </w:p>
        </w:tc>
        <w:tc>
          <w:tcPr>
            <w:tcW w:w="6025" w:type="dxa"/>
          </w:tcPr>
          <w:p w14:paraId="5CE04774" w14:textId="57211B7F" w:rsidR="001B08DE" w:rsidRDefault="001B08DE" w:rsidP="001B08DE">
            <w:pPr>
              <w:jc w:val="both"/>
            </w:pPr>
            <w:r w:rsidRPr="00011BA8">
              <w:t xml:space="preserve">Ministry of Internally Displaced Persons from Occupied Territories, </w:t>
            </w:r>
            <w:proofErr w:type="spellStart"/>
            <w:r w:rsidRPr="00011BA8">
              <w:t>Labour</w:t>
            </w:r>
            <w:proofErr w:type="spellEnd"/>
            <w:r w:rsidRPr="00011BA8">
              <w:t>, Health and Social Affairs (</w:t>
            </w:r>
            <w:proofErr w:type="spellStart"/>
            <w:r w:rsidRPr="00011BA8">
              <w:t>Mo</w:t>
            </w:r>
            <w:r>
              <w:t>IDPOT</w:t>
            </w:r>
            <w:r w:rsidRPr="00011BA8">
              <w:t>LHSA</w:t>
            </w:r>
            <w:proofErr w:type="spellEnd"/>
            <w:r w:rsidRPr="00011BA8">
              <w:t xml:space="preserve">) </w:t>
            </w:r>
            <w:r>
              <w:t xml:space="preserve">Department of </w:t>
            </w:r>
            <w:proofErr w:type="spellStart"/>
            <w:r>
              <w:t>Labour</w:t>
            </w:r>
            <w:proofErr w:type="spellEnd"/>
            <w:r>
              <w:t xml:space="preserve"> and Employment</w:t>
            </w:r>
          </w:p>
        </w:tc>
      </w:tr>
      <w:tr w:rsidR="001B08DE" w14:paraId="0BE4CBE1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2314E5D6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3C208CC" w14:textId="5A0F56E0" w:rsidR="001B08DE" w:rsidRDefault="001B08DE" w:rsidP="001B08DE">
            <w:pPr>
              <w:rPr>
                <w:lang w:val="it-IT"/>
              </w:rPr>
            </w:pPr>
            <w:r>
              <w:t xml:space="preserve">3 persons </w:t>
            </w:r>
          </w:p>
        </w:tc>
        <w:tc>
          <w:tcPr>
            <w:tcW w:w="6025" w:type="dxa"/>
          </w:tcPr>
          <w:p w14:paraId="75D873F1" w14:textId="1984AF70" w:rsidR="001B08DE" w:rsidRPr="00011BA8" w:rsidRDefault="001B08DE" w:rsidP="001B08DE">
            <w:pPr>
              <w:jc w:val="both"/>
            </w:pPr>
            <w:r>
              <w:t>GEOSTAT</w:t>
            </w:r>
          </w:p>
        </w:tc>
      </w:tr>
      <w:tr w:rsidR="001B08DE" w14:paraId="2959F347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3F030B2A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2D01D80" w14:textId="6B8C48F4" w:rsidR="001B08DE" w:rsidRDefault="001B08DE" w:rsidP="001B08DE">
            <w:pPr>
              <w:jc w:val="both"/>
            </w:pPr>
            <w:r>
              <w:t>3 persons</w:t>
            </w:r>
          </w:p>
        </w:tc>
        <w:tc>
          <w:tcPr>
            <w:tcW w:w="6025" w:type="dxa"/>
          </w:tcPr>
          <w:p w14:paraId="3508B023" w14:textId="563996F2" w:rsidR="001B08DE" w:rsidRDefault="001B08DE" w:rsidP="001B08DE">
            <w:pPr>
              <w:jc w:val="both"/>
            </w:pPr>
            <w:r>
              <w:t>Georgian Trade Union Confederation</w:t>
            </w:r>
          </w:p>
        </w:tc>
      </w:tr>
      <w:tr w:rsidR="001B08DE" w14:paraId="7D5B141E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11B809F6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5C62ECB2" w14:textId="6563030A" w:rsidR="001B08DE" w:rsidRDefault="001B08DE" w:rsidP="001B08DE">
            <w:pPr>
              <w:jc w:val="both"/>
            </w:pPr>
            <w:r>
              <w:t>3 persons</w:t>
            </w:r>
          </w:p>
        </w:tc>
        <w:tc>
          <w:tcPr>
            <w:tcW w:w="6025" w:type="dxa"/>
          </w:tcPr>
          <w:p w14:paraId="5A1F49B2" w14:textId="33A1835F" w:rsidR="001B08DE" w:rsidRDefault="001B08DE" w:rsidP="001B08DE">
            <w:pPr>
              <w:jc w:val="both"/>
            </w:pPr>
            <w:r>
              <w:t xml:space="preserve">Georgian Employers Association </w:t>
            </w:r>
          </w:p>
        </w:tc>
      </w:tr>
      <w:tr w:rsidR="001B08DE" w14:paraId="3E0E42DE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32549D3B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320C1D6" w14:textId="7832D7FB" w:rsidR="001B08DE" w:rsidRDefault="001B08DE" w:rsidP="001B08DE">
            <w:pPr>
              <w:jc w:val="both"/>
            </w:pPr>
            <w:r>
              <w:t>5 persons</w:t>
            </w:r>
          </w:p>
        </w:tc>
        <w:tc>
          <w:tcPr>
            <w:tcW w:w="6025" w:type="dxa"/>
          </w:tcPr>
          <w:p w14:paraId="4AB9340A" w14:textId="01C1D187" w:rsidR="001B08DE" w:rsidRDefault="001B08DE" w:rsidP="001B08DE">
            <w:pPr>
              <w:jc w:val="both"/>
            </w:pPr>
            <w:r>
              <w:t>Representatives of Private Sector</w:t>
            </w:r>
          </w:p>
        </w:tc>
      </w:tr>
      <w:tr w:rsidR="001B08DE" w14:paraId="258CC00D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44281351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5079EE01" w14:textId="5BABE622" w:rsidR="001B08DE" w:rsidRDefault="002811D0" w:rsidP="001B08DE">
            <w:pPr>
              <w:jc w:val="both"/>
            </w:pPr>
            <w:r>
              <w:t>5 persons</w:t>
            </w:r>
          </w:p>
        </w:tc>
        <w:tc>
          <w:tcPr>
            <w:tcW w:w="6025" w:type="dxa"/>
          </w:tcPr>
          <w:p w14:paraId="70AC858F" w14:textId="02BCD23B" w:rsidR="001B08DE" w:rsidRDefault="002811D0" w:rsidP="001B08DE">
            <w:pPr>
              <w:jc w:val="both"/>
            </w:pPr>
            <w:r>
              <w:t>Civil Society Organizations</w:t>
            </w:r>
          </w:p>
        </w:tc>
      </w:tr>
      <w:tr w:rsidR="001B08DE" w14:paraId="0729DF3C" w14:textId="77777777" w:rsidTr="00105808">
        <w:trPr>
          <w:gridAfter w:val="1"/>
          <w:wAfter w:w="6" w:type="dxa"/>
        </w:trPr>
        <w:tc>
          <w:tcPr>
            <w:tcW w:w="535" w:type="dxa"/>
          </w:tcPr>
          <w:p w14:paraId="6419A699" w14:textId="77777777" w:rsidR="001B08DE" w:rsidRDefault="001B08DE" w:rsidP="001B08DE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471931D2" w14:textId="20AC0805" w:rsidR="001B08DE" w:rsidRDefault="002811D0" w:rsidP="001B08DE">
            <w:pPr>
              <w:jc w:val="both"/>
            </w:pPr>
            <w:r>
              <w:t>5 persons</w:t>
            </w:r>
          </w:p>
        </w:tc>
        <w:tc>
          <w:tcPr>
            <w:tcW w:w="6025" w:type="dxa"/>
          </w:tcPr>
          <w:p w14:paraId="2C9910E5" w14:textId="6AD3F18A" w:rsidR="001B08DE" w:rsidRDefault="002811D0" w:rsidP="001B08DE">
            <w:pPr>
              <w:jc w:val="both"/>
            </w:pPr>
            <w:r>
              <w:t xml:space="preserve">Media </w:t>
            </w:r>
          </w:p>
        </w:tc>
      </w:tr>
      <w:tr w:rsidR="007B2C3A" w14:paraId="0C1ADE32" w14:textId="77777777" w:rsidTr="00627B15">
        <w:tc>
          <w:tcPr>
            <w:tcW w:w="10436" w:type="dxa"/>
            <w:gridSpan w:val="4"/>
            <w:shd w:val="clear" w:color="auto" w:fill="9CC2E5" w:themeFill="accent1" w:themeFillTint="99"/>
          </w:tcPr>
          <w:p w14:paraId="057F9F9C" w14:textId="77777777" w:rsidR="007B2C3A" w:rsidRDefault="007B2C3A" w:rsidP="00627B15">
            <w:pPr>
              <w:jc w:val="both"/>
            </w:pPr>
            <w:r>
              <w:t xml:space="preserve">Donor Organizations </w:t>
            </w:r>
          </w:p>
        </w:tc>
      </w:tr>
      <w:tr w:rsidR="007B2C3A" w14:paraId="3F64405F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3DE6A6F2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549F60D0" w14:textId="77777777" w:rsidR="007B2C3A" w:rsidRPr="00172788" w:rsidRDefault="007B2C3A" w:rsidP="00627B15">
            <w:pPr>
              <w:jc w:val="both"/>
            </w:pPr>
            <w:r>
              <w:t>Danielle Meuwly</w:t>
            </w:r>
          </w:p>
        </w:tc>
        <w:tc>
          <w:tcPr>
            <w:tcW w:w="6025" w:type="dxa"/>
          </w:tcPr>
          <w:p w14:paraId="0151EFAC" w14:textId="77777777" w:rsidR="007B2C3A" w:rsidRDefault="007B2C3A" w:rsidP="00627B15">
            <w:pPr>
              <w:jc w:val="both"/>
            </w:pPr>
            <w:r>
              <w:t>SDC</w:t>
            </w:r>
          </w:p>
        </w:tc>
      </w:tr>
      <w:tr w:rsidR="007B2C3A" w14:paraId="794E0E7D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706FE37C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0F7709DB" w14:textId="77777777" w:rsidR="007B2C3A" w:rsidRDefault="007B2C3A" w:rsidP="00627B15">
            <w:pPr>
              <w:jc w:val="both"/>
            </w:pPr>
            <w:r>
              <w:t xml:space="preserve">Tamuna </w:t>
            </w:r>
            <w:r w:rsidRPr="00011BA8">
              <w:t>Tsivtsivadze</w:t>
            </w:r>
          </w:p>
        </w:tc>
        <w:tc>
          <w:tcPr>
            <w:tcW w:w="6025" w:type="dxa"/>
          </w:tcPr>
          <w:p w14:paraId="64C1C922" w14:textId="77777777" w:rsidR="007B2C3A" w:rsidRDefault="007B2C3A" w:rsidP="00627B15">
            <w:pPr>
              <w:jc w:val="both"/>
            </w:pPr>
            <w:r>
              <w:t>SDC</w:t>
            </w:r>
          </w:p>
        </w:tc>
      </w:tr>
      <w:tr w:rsidR="007B2C3A" w14:paraId="19BBE25A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428EDC41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DA4736A" w14:textId="77777777" w:rsidR="007B2C3A" w:rsidRDefault="007B2C3A" w:rsidP="00627B15">
            <w:pPr>
              <w:jc w:val="both"/>
            </w:pPr>
            <w:r>
              <w:t>Austrian Ambassador</w:t>
            </w:r>
          </w:p>
        </w:tc>
        <w:tc>
          <w:tcPr>
            <w:tcW w:w="6025" w:type="dxa"/>
          </w:tcPr>
          <w:p w14:paraId="28ECA67D" w14:textId="77777777" w:rsidR="007B2C3A" w:rsidRDefault="007B2C3A" w:rsidP="00627B15">
            <w:pPr>
              <w:jc w:val="both"/>
            </w:pPr>
            <w:r>
              <w:t>Embassy of Austria</w:t>
            </w:r>
          </w:p>
        </w:tc>
      </w:tr>
      <w:tr w:rsidR="007B2C3A" w14:paraId="739D7D84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57E76179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6293436F" w14:textId="77777777" w:rsidR="007B2C3A" w:rsidRDefault="007B2C3A" w:rsidP="00627B15">
            <w:pPr>
              <w:jc w:val="both"/>
            </w:pPr>
            <w:r w:rsidRPr="00011BA8">
              <w:t>Gerhard Schaumberger</w:t>
            </w:r>
          </w:p>
        </w:tc>
        <w:tc>
          <w:tcPr>
            <w:tcW w:w="6025" w:type="dxa"/>
          </w:tcPr>
          <w:p w14:paraId="468EE96B" w14:textId="77777777" w:rsidR="007B2C3A" w:rsidRDefault="007B2C3A" w:rsidP="00627B15">
            <w:pPr>
              <w:jc w:val="both"/>
            </w:pPr>
            <w:r>
              <w:t>ADA</w:t>
            </w:r>
          </w:p>
        </w:tc>
      </w:tr>
      <w:tr w:rsidR="007B2C3A" w14:paraId="1E679DC1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7BE53460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231737CB" w14:textId="77777777" w:rsidR="007B2C3A" w:rsidRDefault="007B2C3A" w:rsidP="00627B15">
            <w:pPr>
              <w:jc w:val="both"/>
            </w:pPr>
            <w:r>
              <w:t xml:space="preserve">Vakhtang </w:t>
            </w:r>
            <w:r w:rsidRPr="004547EB">
              <w:t>Mshvidobadze</w:t>
            </w:r>
          </w:p>
        </w:tc>
        <w:tc>
          <w:tcPr>
            <w:tcW w:w="6025" w:type="dxa"/>
          </w:tcPr>
          <w:p w14:paraId="4CC43665" w14:textId="77777777" w:rsidR="007B2C3A" w:rsidRDefault="007B2C3A" w:rsidP="00627B15">
            <w:pPr>
              <w:jc w:val="both"/>
            </w:pPr>
            <w:r>
              <w:t>ADA</w:t>
            </w:r>
          </w:p>
        </w:tc>
      </w:tr>
      <w:tr w:rsidR="007B2C3A" w14:paraId="0877CF2B" w14:textId="77777777" w:rsidTr="00627B15">
        <w:tc>
          <w:tcPr>
            <w:tcW w:w="10436" w:type="dxa"/>
            <w:gridSpan w:val="4"/>
            <w:shd w:val="clear" w:color="auto" w:fill="9CC2E5" w:themeFill="accent1" w:themeFillTint="99"/>
          </w:tcPr>
          <w:p w14:paraId="39B24E6F" w14:textId="77777777" w:rsidR="007B2C3A" w:rsidRDefault="007B2C3A" w:rsidP="00627B15">
            <w:pPr>
              <w:jc w:val="both"/>
            </w:pPr>
            <w:r>
              <w:t xml:space="preserve">UN Representatives </w:t>
            </w:r>
          </w:p>
        </w:tc>
      </w:tr>
      <w:tr w:rsidR="007B2C3A" w14:paraId="00D7021A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77536C1A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56670639" w14:textId="77777777" w:rsidR="007B2C3A" w:rsidRDefault="007B2C3A" w:rsidP="00627B15">
            <w:pPr>
              <w:jc w:val="both"/>
            </w:pPr>
            <w:r w:rsidRPr="00172788">
              <w:t>Erika Kvapilova</w:t>
            </w:r>
          </w:p>
        </w:tc>
        <w:tc>
          <w:tcPr>
            <w:tcW w:w="6025" w:type="dxa"/>
          </w:tcPr>
          <w:p w14:paraId="49669E62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7CED880B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53785385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4A28F85F" w14:textId="77777777" w:rsidR="007B2C3A" w:rsidRDefault="007B2C3A" w:rsidP="00627B15">
            <w:pPr>
              <w:jc w:val="both"/>
            </w:pPr>
            <w:r w:rsidRPr="00172788">
              <w:t>Mehjabeen</w:t>
            </w:r>
            <w:r>
              <w:t xml:space="preserve"> Alarakhia</w:t>
            </w:r>
          </w:p>
        </w:tc>
        <w:tc>
          <w:tcPr>
            <w:tcW w:w="6025" w:type="dxa"/>
          </w:tcPr>
          <w:p w14:paraId="20CD3EC3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340132D6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3F88F998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04DC0FC5" w14:textId="77777777" w:rsidR="007B2C3A" w:rsidRDefault="007B2C3A" w:rsidP="00627B15">
            <w:pPr>
              <w:jc w:val="both"/>
            </w:pPr>
            <w:r w:rsidRPr="00172788">
              <w:t>Nani</w:t>
            </w:r>
            <w:r>
              <w:t xml:space="preserve"> </w:t>
            </w:r>
            <w:r w:rsidRPr="00516215">
              <w:t>Bendeliani</w:t>
            </w:r>
          </w:p>
        </w:tc>
        <w:tc>
          <w:tcPr>
            <w:tcW w:w="6025" w:type="dxa"/>
          </w:tcPr>
          <w:p w14:paraId="095599FD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7E3952BC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2D0810DD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297BAEF3" w14:textId="77777777" w:rsidR="007B2C3A" w:rsidRDefault="007B2C3A" w:rsidP="00627B15">
            <w:pPr>
              <w:jc w:val="both"/>
            </w:pPr>
            <w:r w:rsidRPr="00172788">
              <w:t>Ana</w:t>
            </w:r>
            <w:r>
              <w:t xml:space="preserve"> </w:t>
            </w:r>
            <w:r w:rsidRPr="00516215">
              <w:t>Pashalishvili</w:t>
            </w:r>
          </w:p>
        </w:tc>
        <w:tc>
          <w:tcPr>
            <w:tcW w:w="6025" w:type="dxa"/>
          </w:tcPr>
          <w:p w14:paraId="08F370C1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38EA3F58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7827E018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2CCCE4D7" w14:textId="77777777" w:rsidR="007B2C3A" w:rsidRDefault="007B2C3A" w:rsidP="00627B15">
            <w:pPr>
              <w:jc w:val="both"/>
            </w:pPr>
            <w:r w:rsidRPr="00172788">
              <w:t>Mariana</w:t>
            </w:r>
            <w:r>
              <w:t xml:space="preserve"> </w:t>
            </w:r>
            <w:r w:rsidRPr="00516215">
              <w:t>Unapkoshvili</w:t>
            </w:r>
          </w:p>
        </w:tc>
        <w:tc>
          <w:tcPr>
            <w:tcW w:w="6025" w:type="dxa"/>
          </w:tcPr>
          <w:p w14:paraId="4B73EA24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676030E1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0D8CEBC3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23D54AE" w14:textId="77777777" w:rsidR="007B2C3A" w:rsidRDefault="007B2C3A" w:rsidP="00627B15">
            <w:pPr>
              <w:jc w:val="both"/>
            </w:pPr>
            <w:r w:rsidRPr="00172788">
              <w:t>Olivia</w:t>
            </w:r>
            <w:r>
              <w:t xml:space="preserve"> Schmitz</w:t>
            </w:r>
          </w:p>
        </w:tc>
        <w:tc>
          <w:tcPr>
            <w:tcW w:w="6025" w:type="dxa"/>
          </w:tcPr>
          <w:p w14:paraId="35E683EF" w14:textId="77777777" w:rsidR="007B2C3A" w:rsidRDefault="007B2C3A" w:rsidP="00627B15">
            <w:pPr>
              <w:jc w:val="both"/>
            </w:pPr>
            <w:r w:rsidRPr="00172788">
              <w:t>UN Women Georgia</w:t>
            </w:r>
          </w:p>
        </w:tc>
      </w:tr>
      <w:tr w:rsidR="007B2C3A" w14:paraId="6DDBBDB3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70400565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631BF5D7" w14:textId="77777777" w:rsidR="007B2C3A" w:rsidRDefault="007B2C3A" w:rsidP="00627B15">
            <w:pPr>
              <w:jc w:val="both"/>
            </w:pPr>
            <w:r w:rsidRPr="003B5E7B">
              <w:t>Jenni</w:t>
            </w:r>
            <w:r>
              <w:t xml:space="preserve"> Ratilainen</w:t>
            </w:r>
          </w:p>
        </w:tc>
        <w:tc>
          <w:tcPr>
            <w:tcW w:w="6025" w:type="dxa"/>
          </w:tcPr>
          <w:p w14:paraId="42B32693" w14:textId="77777777" w:rsidR="007B2C3A" w:rsidRDefault="007B2C3A" w:rsidP="00627B15">
            <w:pPr>
              <w:jc w:val="both"/>
            </w:pPr>
            <w:r w:rsidRPr="003B5E7B">
              <w:t>UN Women Georgia</w:t>
            </w:r>
          </w:p>
        </w:tc>
      </w:tr>
      <w:tr w:rsidR="007B2C3A" w:rsidRPr="00172788" w14:paraId="78791A6B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2209763D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6009BF86" w14:textId="77777777" w:rsidR="007B2C3A" w:rsidRPr="00172788" w:rsidRDefault="007B2C3A" w:rsidP="00627B15">
            <w:pPr>
              <w:jc w:val="both"/>
            </w:pPr>
            <w:r w:rsidRPr="00FA2277">
              <w:t>Gvantsa Asatiani</w:t>
            </w:r>
          </w:p>
        </w:tc>
        <w:tc>
          <w:tcPr>
            <w:tcW w:w="6025" w:type="dxa"/>
          </w:tcPr>
          <w:p w14:paraId="71056ED0" w14:textId="77777777" w:rsidR="007B2C3A" w:rsidRPr="00172788" w:rsidRDefault="007B2C3A" w:rsidP="00627B15">
            <w:pPr>
              <w:jc w:val="both"/>
            </w:pPr>
            <w:r w:rsidRPr="003B5E7B">
              <w:t>UN Women Georgia</w:t>
            </w:r>
          </w:p>
        </w:tc>
      </w:tr>
      <w:tr w:rsidR="007B2C3A" w:rsidRPr="003B5E7B" w14:paraId="1A4F03A6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58F77A9F" w14:textId="77777777" w:rsidR="007B2C3A" w:rsidRPr="003B5E7B" w:rsidDel="00FA2277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29281A6D" w14:textId="77777777" w:rsidR="007B2C3A" w:rsidRPr="003B5E7B" w:rsidRDefault="007B2C3A" w:rsidP="00627B15">
            <w:pPr>
              <w:jc w:val="both"/>
            </w:pPr>
            <w:r w:rsidRPr="00FA2277">
              <w:t>Nino Natroshvili</w:t>
            </w:r>
          </w:p>
        </w:tc>
        <w:tc>
          <w:tcPr>
            <w:tcW w:w="6025" w:type="dxa"/>
          </w:tcPr>
          <w:p w14:paraId="028A9A53" w14:textId="77777777" w:rsidR="007B2C3A" w:rsidRPr="003B5E7B" w:rsidRDefault="007B2C3A" w:rsidP="00627B15">
            <w:pPr>
              <w:jc w:val="both"/>
            </w:pPr>
            <w:r w:rsidRPr="003B5E7B">
              <w:t>UN Women Georgia</w:t>
            </w:r>
          </w:p>
        </w:tc>
      </w:tr>
      <w:tr w:rsidR="007B2C3A" w:rsidRPr="00172788" w14:paraId="6561756C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4AC9AC1A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35DC458D" w14:textId="428276CC" w:rsidR="007B2C3A" w:rsidRPr="00172788" w:rsidRDefault="007B2C3A" w:rsidP="0080665F">
            <w:pPr>
              <w:jc w:val="both"/>
            </w:pPr>
            <w:r>
              <w:t>Sabine Mach</w:t>
            </w:r>
            <w:r w:rsidR="0080665F">
              <w:t>l</w:t>
            </w:r>
          </w:p>
        </w:tc>
        <w:tc>
          <w:tcPr>
            <w:tcW w:w="6025" w:type="dxa"/>
          </w:tcPr>
          <w:p w14:paraId="5E650AF0" w14:textId="77777777" w:rsidR="007B2C3A" w:rsidRPr="00172788" w:rsidRDefault="007B2C3A" w:rsidP="00627B15">
            <w:pPr>
              <w:jc w:val="both"/>
            </w:pPr>
            <w:r>
              <w:t>UN RC</w:t>
            </w:r>
          </w:p>
        </w:tc>
      </w:tr>
      <w:tr w:rsidR="007B2C3A" w14:paraId="7AA5F438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66E2A113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1F4A44E0" w14:textId="77777777" w:rsidR="007B2C3A" w:rsidRPr="00172788" w:rsidRDefault="007B2C3A" w:rsidP="00627B15">
            <w:pPr>
              <w:jc w:val="both"/>
            </w:pPr>
            <w:r>
              <w:t>3 persons</w:t>
            </w:r>
          </w:p>
        </w:tc>
        <w:tc>
          <w:tcPr>
            <w:tcW w:w="6025" w:type="dxa"/>
          </w:tcPr>
          <w:p w14:paraId="7F40F939" w14:textId="77777777" w:rsidR="007B2C3A" w:rsidRDefault="007B2C3A" w:rsidP="00627B15">
            <w:pPr>
              <w:jc w:val="both"/>
            </w:pPr>
            <w:r>
              <w:t>UNDP Georgia</w:t>
            </w:r>
          </w:p>
        </w:tc>
      </w:tr>
      <w:tr w:rsidR="007B2C3A" w14:paraId="3D00779A" w14:textId="77777777" w:rsidTr="00627B15">
        <w:trPr>
          <w:gridAfter w:val="1"/>
          <w:wAfter w:w="6" w:type="dxa"/>
        </w:trPr>
        <w:tc>
          <w:tcPr>
            <w:tcW w:w="535" w:type="dxa"/>
          </w:tcPr>
          <w:p w14:paraId="4B96F391" w14:textId="77777777" w:rsidR="007B2C3A" w:rsidRDefault="007B2C3A" w:rsidP="00627B15">
            <w:pPr>
              <w:pStyle w:val="ListParagraph"/>
              <w:numPr>
                <w:ilvl w:val="0"/>
                <w:numId w:val="21"/>
              </w:numPr>
              <w:ind w:left="162" w:hanging="180"/>
            </w:pPr>
          </w:p>
        </w:tc>
        <w:tc>
          <w:tcPr>
            <w:tcW w:w="3870" w:type="dxa"/>
          </w:tcPr>
          <w:p w14:paraId="790AD8D0" w14:textId="2C329F33" w:rsidR="007B2C3A" w:rsidRPr="00172788" w:rsidRDefault="00D44F0F" w:rsidP="00627B15">
            <w:pPr>
              <w:jc w:val="both"/>
            </w:pPr>
            <w:r>
              <w:t>2 persons</w:t>
            </w:r>
          </w:p>
        </w:tc>
        <w:tc>
          <w:tcPr>
            <w:tcW w:w="6025" w:type="dxa"/>
          </w:tcPr>
          <w:p w14:paraId="302CAD48" w14:textId="77777777" w:rsidR="007B2C3A" w:rsidRDefault="007B2C3A" w:rsidP="00627B15">
            <w:pPr>
              <w:jc w:val="both"/>
            </w:pPr>
            <w:r>
              <w:t>ILO Georgia</w:t>
            </w:r>
          </w:p>
        </w:tc>
      </w:tr>
    </w:tbl>
    <w:p w14:paraId="77D29891" w14:textId="77777777" w:rsidR="00E907D5" w:rsidRPr="00B8578C" w:rsidRDefault="00E907D5" w:rsidP="00BD5D70">
      <w:pPr>
        <w:jc w:val="both"/>
        <w:rPr>
          <w:rFonts w:cstheme="minorHAnsi"/>
          <w:b/>
        </w:rPr>
      </w:pPr>
    </w:p>
    <w:sectPr w:rsidR="00E907D5" w:rsidRPr="00B8578C" w:rsidSect="0050657A">
      <w:pgSz w:w="11906" w:h="16838" w:code="9"/>
      <w:pgMar w:top="180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798AA" w14:textId="77777777" w:rsidR="00CE2525" w:rsidRDefault="00CE2525" w:rsidP="009B1D4F">
      <w:pPr>
        <w:spacing w:after="0" w:line="240" w:lineRule="auto"/>
      </w:pPr>
      <w:r>
        <w:separator/>
      </w:r>
    </w:p>
  </w:endnote>
  <w:endnote w:type="continuationSeparator" w:id="0">
    <w:p w14:paraId="458A1D17" w14:textId="77777777" w:rsidR="00CE2525" w:rsidRDefault="00CE2525" w:rsidP="009B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4143" w14:textId="1138D293" w:rsidR="00E476FE" w:rsidRDefault="00E476FE">
    <w:pPr>
      <w:pStyle w:val="Footer"/>
      <w:rPr>
        <w:b/>
        <w:color w:val="0070C0"/>
      </w:rPr>
    </w:pPr>
    <w:r w:rsidRPr="00E476FE">
      <w:rPr>
        <w:b/>
        <w:color w:val="0070C0"/>
      </w:rPr>
      <w:t xml:space="preserve">Gender Pay Gap in Armenia and Georgia: </w:t>
    </w:r>
    <w:r w:rsidR="002D42F9" w:rsidRPr="002D42F9">
      <w:rPr>
        <w:b/>
        <w:color w:val="0070C0"/>
      </w:rPr>
      <w:t xml:space="preserve">Renewing Commitments  </w:t>
    </w:r>
  </w:p>
  <w:p w14:paraId="2BCD7B7A" w14:textId="7E5C31FC" w:rsidR="00B649FE" w:rsidRDefault="00105808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0665F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0665F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910A" w14:textId="77777777" w:rsidR="00CE2525" w:rsidRDefault="00CE2525" w:rsidP="009B1D4F">
      <w:pPr>
        <w:spacing w:after="0" w:line="240" w:lineRule="auto"/>
      </w:pPr>
      <w:r>
        <w:separator/>
      </w:r>
    </w:p>
  </w:footnote>
  <w:footnote w:type="continuationSeparator" w:id="0">
    <w:p w14:paraId="07296A3A" w14:textId="77777777" w:rsidR="00CE2525" w:rsidRDefault="00CE2525" w:rsidP="009B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267596"/>
      <w:docPartObj>
        <w:docPartGallery w:val="Watermarks"/>
        <w:docPartUnique/>
      </w:docPartObj>
    </w:sdtPr>
    <w:sdtEndPr/>
    <w:sdtContent>
      <w:p w14:paraId="49A9A825" w14:textId="712CC005" w:rsidR="00604144" w:rsidRDefault="00CE2525" w:rsidP="00F9539B">
        <w:pPr>
          <w:jc w:val="right"/>
        </w:pPr>
        <w:r>
          <w:rPr>
            <w:noProof/>
          </w:rPr>
          <w:pict w14:anchorId="7AB6B5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F44DC"/>
    <w:multiLevelType w:val="hybridMultilevel"/>
    <w:tmpl w:val="01B2675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E65"/>
    <w:multiLevelType w:val="hybridMultilevel"/>
    <w:tmpl w:val="4262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B72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07BD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82D"/>
    <w:multiLevelType w:val="hybridMultilevel"/>
    <w:tmpl w:val="9420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5E3"/>
    <w:multiLevelType w:val="hybridMultilevel"/>
    <w:tmpl w:val="B27C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77A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1AFC"/>
    <w:multiLevelType w:val="hybridMultilevel"/>
    <w:tmpl w:val="E618BF4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34079"/>
    <w:multiLevelType w:val="hybridMultilevel"/>
    <w:tmpl w:val="DE6A4DD0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14F"/>
    <w:multiLevelType w:val="hybridMultilevel"/>
    <w:tmpl w:val="BDB8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7530"/>
    <w:multiLevelType w:val="hybridMultilevel"/>
    <w:tmpl w:val="C3CE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961C3"/>
    <w:multiLevelType w:val="hybridMultilevel"/>
    <w:tmpl w:val="86865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72A8E"/>
    <w:multiLevelType w:val="hybridMultilevel"/>
    <w:tmpl w:val="A956BF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403DC"/>
    <w:multiLevelType w:val="hybridMultilevel"/>
    <w:tmpl w:val="5A9EBAA2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3207"/>
    <w:multiLevelType w:val="hybridMultilevel"/>
    <w:tmpl w:val="AA782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B1A94"/>
    <w:multiLevelType w:val="hybridMultilevel"/>
    <w:tmpl w:val="FA6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0059F"/>
    <w:multiLevelType w:val="hybridMultilevel"/>
    <w:tmpl w:val="A5F4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31FC"/>
    <w:multiLevelType w:val="hybridMultilevel"/>
    <w:tmpl w:val="855C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D6E33"/>
    <w:multiLevelType w:val="hybridMultilevel"/>
    <w:tmpl w:val="0A8262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25C60"/>
    <w:multiLevelType w:val="hybridMultilevel"/>
    <w:tmpl w:val="2EA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5393B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5F2F"/>
    <w:multiLevelType w:val="hybridMultilevel"/>
    <w:tmpl w:val="BF5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0A92"/>
    <w:multiLevelType w:val="hybridMultilevel"/>
    <w:tmpl w:val="79B69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42E1A"/>
    <w:multiLevelType w:val="hybridMultilevel"/>
    <w:tmpl w:val="29089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845E5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14861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5"/>
  </w:num>
  <w:num w:numId="4">
    <w:abstractNumId w:val="26"/>
  </w:num>
  <w:num w:numId="5">
    <w:abstractNumId w:val="4"/>
  </w:num>
  <w:num w:numId="6">
    <w:abstractNumId w:val="3"/>
  </w:num>
  <w:num w:numId="7">
    <w:abstractNumId w:val="2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0"/>
  </w:num>
  <w:num w:numId="13">
    <w:abstractNumId w:val="22"/>
  </w:num>
  <w:num w:numId="14">
    <w:abstractNumId w:val="2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8"/>
  </w:num>
  <w:num w:numId="22">
    <w:abstractNumId w:val="20"/>
  </w:num>
  <w:num w:numId="23">
    <w:abstractNumId w:val="24"/>
  </w:num>
  <w:num w:numId="24">
    <w:abstractNumId w:val="12"/>
  </w:num>
  <w:num w:numId="25">
    <w:abstractNumId w:val="23"/>
  </w:num>
  <w:num w:numId="26">
    <w:abstractNumId w:val="6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F"/>
    <w:rsid w:val="00000A7F"/>
    <w:rsid w:val="00011CB5"/>
    <w:rsid w:val="00013FAE"/>
    <w:rsid w:val="0003165E"/>
    <w:rsid w:val="00035A7B"/>
    <w:rsid w:val="000363E8"/>
    <w:rsid w:val="00050D8C"/>
    <w:rsid w:val="00052692"/>
    <w:rsid w:val="0006562B"/>
    <w:rsid w:val="0006767F"/>
    <w:rsid w:val="00076B08"/>
    <w:rsid w:val="00085F90"/>
    <w:rsid w:val="000908D1"/>
    <w:rsid w:val="000A1C5C"/>
    <w:rsid w:val="000B4172"/>
    <w:rsid w:val="000B5F4C"/>
    <w:rsid w:val="000C193E"/>
    <w:rsid w:val="000D0E22"/>
    <w:rsid w:val="000D3AB7"/>
    <w:rsid w:val="000D4252"/>
    <w:rsid w:val="000E0131"/>
    <w:rsid w:val="000F2767"/>
    <w:rsid w:val="000F5A68"/>
    <w:rsid w:val="00105808"/>
    <w:rsid w:val="00106195"/>
    <w:rsid w:val="00114272"/>
    <w:rsid w:val="00115E51"/>
    <w:rsid w:val="001216A2"/>
    <w:rsid w:val="001223B0"/>
    <w:rsid w:val="00131837"/>
    <w:rsid w:val="00137607"/>
    <w:rsid w:val="00147ED5"/>
    <w:rsid w:val="00151010"/>
    <w:rsid w:val="00153050"/>
    <w:rsid w:val="001654C2"/>
    <w:rsid w:val="0016599E"/>
    <w:rsid w:val="00172874"/>
    <w:rsid w:val="00173330"/>
    <w:rsid w:val="00174E0C"/>
    <w:rsid w:val="00182035"/>
    <w:rsid w:val="001840BD"/>
    <w:rsid w:val="001950A3"/>
    <w:rsid w:val="001A2E25"/>
    <w:rsid w:val="001A5219"/>
    <w:rsid w:val="001A6D73"/>
    <w:rsid w:val="001B08DE"/>
    <w:rsid w:val="001B5418"/>
    <w:rsid w:val="001B7EE6"/>
    <w:rsid w:val="001C6964"/>
    <w:rsid w:val="001D6CF4"/>
    <w:rsid w:val="001D78C9"/>
    <w:rsid w:val="001F6A50"/>
    <w:rsid w:val="00206437"/>
    <w:rsid w:val="0022775D"/>
    <w:rsid w:val="00227E79"/>
    <w:rsid w:val="002327A1"/>
    <w:rsid w:val="002440D3"/>
    <w:rsid w:val="00245E90"/>
    <w:rsid w:val="00246C84"/>
    <w:rsid w:val="00251721"/>
    <w:rsid w:val="00275A7C"/>
    <w:rsid w:val="002811D0"/>
    <w:rsid w:val="00282ABC"/>
    <w:rsid w:val="00297823"/>
    <w:rsid w:val="002B2BF8"/>
    <w:rsid w:val="002C2DC5"/>
    <w:rsid w:val="002C3612"/>
    <w:rsid w:val="002C663C"/>
    <w:rsid w:val="002D42F9"/>
    <w:rsid w:val="002D6EE8"/>
    <w:rsid w:val="002E5196"/>
    <w:rsid w:val="003130FB"/>
    <w:rsid w:val="00321D5E"/>
    <w:rsid w:val="00326078"/>
    <w:rsid w:val="0033165E"/>
    <w:rsid w:val="00332385"/>
    <w:rsid w:val="0033636C"/>
    <w:rsid w:val="003415A4"/>
    <w:rsid w:val="00341B81"/>
    <w:rsid w:val="00343CA4"/>
    <w:rsid w:val="0035011E"/>
    <w:rsid w:val="003550DF"/>
    <w:rsid w:val="0036780B"/>
    <w:rsid w:val="003731CA"/>
    <w:rsid w:val="003859D6"/>
    <w:rsid w:val="003C121E"/>
    <w:rsid w:val="003C3F71"/>
    <w:rsid w:val="003C5A5B"/>
    <w:rsid w:val="003C71ED"/>
    <w:rsid w:val="003E0B55"/>
    <w:rsid w:val="003E2B49"/>
    <w:rsid w:val="003E5802"/>
    <w:rsid w:val="003E7534"/>
    <w:rsid w:val="003F1668"/>
    <w:rsid w:val="004004AE"/>
    <w:rsid w:val="00400C10"/>
    <w:rsid w:val="00406391"/>
    <w:rsid w:val="00412626"/>
    <w:rsid w:val="00416A08"/>
    <w:rsid w:val="0042184F"/>
    <w:rsid w:val="00425726"/>
    <w:rsid w:val="0043326B"/>
    <w:rsid w:val="004378A2"/>
    <w:rsid w:val="00447509"/>
    <w:rsid w:val="004547EB"/>
    <w:rsid w:val="0046070F"/>
    <w:rsid w:val="00463B10"/>
    <w:rsid w:val="00472661"/>
    <w:rsid w:val="00482222"/>
    <w:rsid w:val="00482239"/>
    <w:rsid w:val="00492C6C"/>
    <w:rsid w:val="004A0561"/>
    <w:rsid w:val="004A5A96"/>
    <w:rsid w:val="004B19AE"/>
    <w:rsid w:val="004C12E0"/>
    <w:rsid w:val="004C684B"/>
    <w:rsid w:val="004D767B"/>
    <w:rsid w:val="004E61F9"/>
    <w:rsid w:val="00500FAC"/>
    <w:rsid w:val="00501B3E"/>
    <w:rsid w:val="0050414C"/>
    <w:rsid w:val="00504965"/>
    <w:rsid w:val="00504A8F"/>
    <w:rsid w:val="0050657A"/>
    <w:rsid w:val="0051487F"/>
    <w:rsid w:val="00521779"/>
    <w:rsid w:val="00527ED3"/>
    <w:rsid w:val="005411F7"/>
    <w:rsid w:val="00542FE9"/>
    <w:rsid w:val="00543466"/>
    <w:rsid w:val="005443DA"/>
    <w:rsid w:val="00545117"/>
    <w:rsid w:val="005455EB"/>
    <w:rsid w:val="005555FD"/>
    <w:rsid w:val="005647FF"/>
    <w:rsid w:val="00567189"/>
    <w:rsid w:val="00571826"/>
    <w:rsid w:val="00572B5C"/>
    <w:rsid w:val="0057622C"/>
    <w:rsid w:val="005763FA"/>
    <w:rsid w:val="00581055"/>
    <w:rsid w:val="00591E18"/>
    <w:rsid w:val="0059653F"/>
    <w:rsid w:val="005A7792"/>
    <w:rsid w:val="005B7783"/>
    <w:rsid w:val="005C3B08"/>
    <w:rsid w:val="005D6CCD"/>
    <w:rsid w:val="005E014A"/>
    <w:rsid w:val="005F0B63"/>
    <w:rsid w:val="006008B9"/>
    <w:rsid w:val="006018B4"/>
    <w:rsid w:val="0060292C"/>
    <w:rsid w:val="00604144"/>
    <w:rsid w:val="00604DD5"/>
    <w:rsid w:val="00612934"/>
    <w:rsid w:val="00613836"/>
    <w:rsid w:val="0061403C"/>
    <w:rsid w:val="00614DA3"/>
    <w:rsid w:val="00620CCC"/>
    <w:rsid w:val="006220B0"/>
    <w:rsid w:val="00627447"/>
    <w:rsid w:val="0063650E"/>
    <w:rsid w:val="00640BAD"/>
    <w:rsid w:val="00643AA4"/>
    <w:rsid w:val="00644423"/>
    <w:rsid w:val="00647FBA"/>
    <w:rsid w:val="006531D3"/>
    <w:rsid w:val="006663D5"/>
    <w:rsid w:val="00674399"/>
    <w:rsid w:val="00677A1F"/>
    <w:rsid w:val="00685122"/>
    <w:rsid w:val="00690D24"/>
    <w:rsid w:val="006A33E4"/>
    <w:rsid w:val="006A53F1"/>
    <w:rsid w:val="006B414C"/>
    <w:rsid w:val="006B5135"/>
    <w:rsid w:val="006B6B23"/>
    <w:rsid w:val="006B7EB4"/>
    <w:rsid w:val="006C11B6"/>
    <w:rsid w:val="006D4423"/>
    <w:rsid w:val="006D48E4"/>
    <w:rsid w:val="006D77B1"/>
    <w:rsid w:val="006E23D6"/>
    <w:rsid w:val="006E7242"/>
    <w:rsid w:val="006F2FE7"/>
    <w:rsid w:val="006F52BE"/>
    <w:rsid w:val="00715560"/>
    <w:rsid w:val="0071749C"/>
    <w:rsid w:val="00722F3C"/>
    <w:rsid w:val="0072459C"/>
    <w:rsid w:val="00732E2E"/>
    <w:rsid w:val="00742B45"/>
    <w:rsid w:val="007473C8"/>
    <w:rsid w:val="00747F63"/>
    <w:rsid w:val="00750153"/>
    <w:rsid w:val="00750259"/>
    <w:rsid w:val="00751040"/>
    <w:rsid w:val="0076107E"/>
    <w:rsid w:val="007611BE"/>
    <w:rsid w:val="007704E6"/>
    <w:rsid w:val="0077251E"/>
    <w:rsid w:val="00777E2A"/>
    <w:rsid w:val="00780E06"/>
    <w:rsid w:val="007816EA"/>
    <w:rsid w:val="00781D06"/>
    <w:rsid w:val="007A74C5"/>
    <w:rsid w:val="007A7B91"/>
    <w:rsid w:val="007B2C3A"/>
    <w:rsid w:val="007B3574"/>
    <w:rsid w:val="007C008B"/>
    <w:rsid w:val="007D1554"/>
    <w:rsid w:val="007D7DBD"/>
    <w:rsid w:val="007E116A"/>
    <w:rsid w:val="0080103E"/>
    <w:rsid w:val="00804EAE"/>
    <w:rsid w:val="0080509D"/>
    <w:rsid w:val="00805E52"/>
    <w:rsid w:val="0080665F"/>
    <w:rsid w:val="00816D02"/>
    <w:rsid w:val="00833152"/>
    <w:rsid w:val="00844462"/>
    <w:rsid w:val="00850B77"/>
    <w:rsid w:val="0085547D"/>
    <w:rsid w:val="008557A4"/>
    <w:rsid w:val="00881BF3"/>
    <w:rsid w:val="008824A1"/>
    <w:rsid w:val="0088317D"/>
    <w:rsid w:val="008951A6"/>
    <w:rsid w:val="008A7265"/>
    <w:rsid w:val="008B0F68"/>
    <w:rsid w:val="008B23FB"/>
    <w:rsid w:val="008B5538"/>
    <w:rsid w:val="008C2052"/>
    <w:rsid w:val="008D0E8A"/>
    <w:rsid w:val="008D20DA"/>
    <w:rsid w:val="008D2902"/>
    <w:rsid w:val="008E00D1"/>
    <w:rsid w:val="008E2088"/>
    <w:rsid w:val="008E3AFF"/>
    <w:rsid w:val="00900965"/>
    <w:rsid w:val="00902761"/>
    <w:rsid w:val="0090417E"/>
    <w:rsid w:val="009174B9"/>
    <w:rsid w:val="00921C9C"/>
    <w:rsid w:val="00924B40"/>
    <w:rsid w:val="009367F6"/>
    <w:rsid w:val="00936DEF"/>
    <w:rsid w:val="009405CE"/>
    <w:rsid w:val="00940FE2"/>
    <w:rsid w:val="00944DD8"/>
    <w:rsid w:val="009574AD"/>
    <w:rsid w:val="00961A5F"/>
    <w:rsid w:val="00964896"/>
    <w:rsid w:val="00965F95"/>
    <w:rsid w:val="00971E3F"/>
    <w:rsid w:val="00986C77"/>
    <w:rsid w:val="00995DA3"/>
    <w:rsid w:val="00997274"/>
    <w:rsid w:val="009A7335"/>
    <w:rsid w:val="009B1D4F"/>
    <w:rsid w:val="009B2835"/>
    <w:rsid w:val="009B2E6B"/>
    <w:rsid w:val="009C19F8"/>
    <w:rsid w:val="009C568E"/>
    <w:rsid w:val="009D6DA9"/>
    <w:rsid w:val="009E7AFD"/>
    <w:rsid w:val="009F0A06"/>
    <w:rsid w:val="009F6A03"/>
    <w:rsid w:val="00A02076"/>
    <w:rsid w:val="00A13268"/>
    <w:rsid w:val="00A26716"/>
    <w:rsid w:val="00A32BC3"/>
    <w:rsid w:val="00A33FAF"/>
    <w:rsid w:val="00A53EB7"/>
    <w:rsid w:val="00A63B04"/>
    <w:rsid w:val="00A649D6"/>
    <w:rsid w:val="00A74C74"/>
    <w:rsid w:val="00A75B3A"/>
    <w:rsid w:val="00A8216D"/>
    <w:rsid w:val="00A87333"/>
    <w:rsid w:val="00A875EF"/>
    <w:rsid w:val="00AC09F8"/>
    <w:rsid w:val="00AC611B"/>
    <w:rsid w:val="00AD1966"/>
    <w:rsid w:val="00AD4735"/>
    <w:rsid w:val="00AD47CC"/>
    <w:rsid w:val="00AD4BE1"/>
    <w:rsid w:val="00AD5E57"/>
    <w:rsid w:val="00AE4BB1"/>
    <w:rsid w:val="00B03951"/>
    <w:rsid w:val="00B344EA"/>
    <w:rsid w:val="00B37580"/>
    <w:rsid w:val="00B37A6D"/>
    <w:rsid w:val="00B44CE1"/>
    <w:rsid w:val="00B520A4"/>
    <w:rsid w:val="00B6168C"/>
    <w:rsid w:val="00B649FE"/>
    <w:rsid w:val="00B66559"/>
    <w:rsid w:val="00B8578C"/>
    <w:rsid w:val="00B902C0"/>
    <w:rsid w:val="00BA0098"/>
    <w:rsid w:val="00BA6506"/>
    <w:rsid w:val="00BA7241"/>
    <w:rsid w:val="00BB26D5"/>
    <w:rsid w:val="00BD0E96"/>
    <w:rsid w:val="00BD5D70"/>
    <w:rsid w:val="00BD6F5B"/>
    <w:rsid w:val="00BE3F3C"/>
    <w:rsid w:val="00BF6317"/>
    <w:rsid w:val="00C14864"/>
    <w:rsid w:val="00C1620C"/>
    <w:rsid w:val="00C32084"/>
    <w:rsid w:val="00C32643"/>
    <w:rsid w:val="00C40221"/>
    <w:rsid w:val="00C5001D"/>
    <w:rsid w:val="00C706FE"/>
    <w:rsid w:val="00C71E9E"/>
    <w:rsid w:val="00C762D8"/>
    <w:rsid w:val="00C77EF9"/>
    <w:rsid w:val="00C809ED"/>
    <w:rsid w:val="00C8391B"/>
    <w:rsid w:val="00CA7936"/>
    <w:rsid w:val="00CB0C2D"/>
    <w:rsid w:val="00CD0854"/>
    <w:rsid w:val="00CD2898"/>
    <w:rsid w:val="00CE04AA"/>
    <w:rsid w:val="00CE15DB"/>
    <w:rsid w:val="00CE2525"/>
    <w:rsid w:val="00CE53A5"/>
    <w:rsid w:val="00CE74A7"/>
    <w:rsid w:val="00CF1A10"/>
    <w:rsid w:val="00D021C3"/>
    <w:rsid w:val="00D03EF2"/>
    <w:rsid w:val="00D0715C"/>
    <w:rsid w:val="00D219D9"/>
    <w:rsid w:val="00D22D10"/>
    <w:rsid w:val="00D243FB"/>
    <w:rsid w:val="00D26DE6"/>
    <w:rsid w:val="00D30C89"/>
    <w:rsid w:val="00D32206"/>
    <w:rsid w:val="00D34AAB"/>
    <w:rsid w:val="00D42755"/>
    <w:rsid w:val="00D44F0F"/>
    <w:rsid w:val="00D46CD4"/>
    <w:rsid w:val="00D4749A"/>
    <w:rsid w:val="00D51C47"/>
    <w:rsid w:val="00D51F50"/>
    <w:rsid w:val="00D5231E"/>
    <w:rsid w:val="00D549FC"/>
    <w:rsid w:val="00D56EB6"/>
    <w:rsid w:val="00D87AE9"/>
    <w:rsid w:val="00D95EA5"/>
    <w:rsid w:val="00DB25A8"/>
    <w:rsid w:val="00DE58B6"/>
    <w:rsid w:val="00DF7CC0"/>
    <w:rsid w:val="00E0519F"/>
    <w:rsid w:val="00E11F0D"/>
    <w:rsid w:val="00E13598"/>
    <w:rsid w:val="00E13FC9"/>
    <w:rsid w:val="00E23A68"/>
    <w:rsid w:val="00E24EC4"/>
    <w:rsid w:val="00E32BD8"/>
    <w:rsid w:val="00E37C58"/>
    <w:rsid w:val="00E40A62"/>
    <w:rsid w:val="00E4293B"/>
    <w:rsid w:val="00E476FE"/>
    <w:rsid w:val="00E47FB8"/>
    <w:rsid w:val="00E66AD2"/>
    <w:rsid w:val="00E674D0"/>
    <w:rsid w:val="00E854AA"/>
    <w:rsid w:val="00E907D5"/>
    <w:rsid w:val="00EA12F5"/>
    <w:rsid w:val="00EA148C"/>
    <w:rsid w:val="00EB2CEA"/>
    <w:rsid w:val="00EC5DC0"/>
    <w:rsid w:val="00ED52B5"/>
    <w:rsid w:val="00ED5F80"/>
    <w:rsid w:val="00EE2B3A"/>
    <w:rsid w:val="00EF591A"/>
    <w:rsid w:val="00EF5D47"/>
    <w:rsid w:val="00F000B9"/>
    <w:rsid w:val="00F01F5D"/>
    <w:rsid w:val="00F04D29"/>
    <w:rsid w:val="00F0647F"/>
    <w:rsid w:val="00F272E4"/>
    <w:rsid w:val="00F35EB2"/>
    <w:rsid w:val="00F36089"/>
    <w:rsid w:val="00F41CD8"/>
    <w:rsid w:val="00F43ECD"/>
    <w:rsid w:val="00F44C63"/>
    <w:rsid w:val="00F475CF"/>
    <w:rsid w:val="00F53D88"/>
    <w:rsid w:val="00F54ECE"/>
    <w:rsid w:val="00F61E24"/>
    <w:rsid w:val="00F6495D"/>
    <w:rsid w:val="00F74A0B"/>
    <w:rsid w:val="00F76688"/>
    <w:rsid w:val="00F81C47"/>
    <w:rsid w:val="00F82A86"/>
    <w:rsid w:val="00F8371B"/>
    <w:rsid w:val="00F8529C"/>
    <w:rsid w:val="00F87774"/>
    <w:rsid w:val="00F939E7"/>
    <w:rsid w:val="00F93A71"/>
    <w:rsid w:val="00F9539B"/>
    <w:rsid w:val="00F97D12"/>
    <w:rsid w:val="00FA0D7E"/>
    <w:rsid w:val="00FA3932"/>
    <w:rsid w:val="00FB4683"/>
    <w:rsid w:val="00FB4A41"/>
    <w:rsid w:val="00FE70EB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1BDDF5"/>
  <w15:chartTrackingRefBased/>
  <w15:docId w15:val="{DC19CC9F-4883-45EF-A4A4-081534F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EF591A"/>
    <w:pPr>
      <w:spacing w:before="840" w:after="40" w:line="240" w:lineRule="auto"/>
      <w:ind w:left="720" w:right="720"/>
      <w:outlineLvl w:val="0"/>
    </w:pPr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4F"/>
  </w:style>
  <w:style w:type="paragraph" w:styleId="Footer">
    <w:name w:val="footer"/>
    <w:basedOn w:val="Normal"/>
    <w:link w:val="Foot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4F"/>
  </w:style>
  <w:style w:type="paragraph" w:styleId="ListParagraph">
    <w:name w:val="List Paragraph"/>
    <w:basedOn w:val="Normal"/>
    <w:link w:val="ListParagraphChar"/>
    <w:uiPriority w:val="34"/>
    <w:qFormat/>
    <w:rsid w:val="009B1D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2ABC"/>
    <w:pPr>
      <w:spacing w:after="0" w:line="240" w:lineRule="auto"/>
    </w:pPr>
  </w:style>
  <w:style w:type="character" w:styleId="Hyperlink">
    <w:name w:val="Hyperlink"/>
    <w:uiPriority w:val="99"/>
    <w:unhideWhenUsed/>
    <w:rsid w:val="00780E06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aliases w:val="Footnote Text Char Char,Char,single space,ft,fn,FOOTNOTES,ADB,WB-Fußnotentext,Footnote,Fußnote,Geneva 9,Font: Geneva 9,Boston 10,f,12pt,12pt Знак,12pt Знак Знак Знак Знак Знак,12pt Знак Знак Знак Знак,WB-Fuﬂnotentext"/>
    <w:basedOn w:val="Normal"/>
    <w:link w:val="FootnoteTextChar1"/>
    <w:autoRedefine/>
    <w:qFormat/>
    <w:rsid w:val="00E32BD8"/>
    <w:pPr>
      <w:widowControl w:val="0"/>
      <w:tabs>
        <w:tab w:val="left" w:pos="0"/>
      </w:tabs>
      <w:spacing w:after="80" w:line="240" w:lineRule="auto"/>
    </w:pPr>
    <w:rPr>
      <w:rFonts w:eastAsia="Calibri" w:cstheme="minorHAnsi"/>
      <w:sz w:val="16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CE04AA"/>
    <w:rPr>
      <w:sz w:val="20"/>
      <w:szCs w:val="20"/>
    </w:rPr>
  </w:style>
  <w:style w:type="character" w:styleId="FootnoteReference">
    <w:name w:val="footnote reference"/>
    <w:aliases w:val="16 Point,Superscript 6 Point,Carattere Char1,Carattere Char Char Carattere Carattere Char Char,ftref,Ref,de nota al pie,4_G,FNRefe Char Char"/>
    <w:link w:val="Char2"/>
    <w:qFormat/>
    <w:rsid w:val="00CE04AA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04AA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aliases w:val="Footnote Text Char Char Char,Char Char,single space Char,ft Char,fn Char,FOOTNOTES Char,ADB Char,WB-Fußnotentext Char,Footnote Char,Fußnote Char,Geneva 9 Char,Font: Geneva 9 Char,Boston 10 Char,f Char,12pt Char,12pt Знак Char"/>
    <w:link w:val="FootnoteText"/>
    <w:rsid w:val="00E32BD8"/>
    <w:rPr>
      <w:rFonts w:eastAsia="Calibri" w:cstheme="minorHAnsi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F01F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B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91A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paragraph" w:customStyle="1" w:styleId="ItemDescription">
    <w:name w:val="Item Description"/>
    <w:basedOn w:val="Normal"/>
    <w:qFormat/>
    <w:rsid w:val="00297823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1CAF6174674F85848C1FB1312F53" ma:contentTypeVersion="13" ma:contentTypeDescription="Create a new document." ma:contentTypeScope="" ma:versionID="8a1e60ff782ca599a6cde5dd89d19fcf">
  <xsd:schema xmlns:xsd="http://www.w3.org/2001/XMLSchema" xmlns:xs="http://www.w3.org/2001/XMLSchema" xmlns:p="http://schemas.microsoft.com/office/2006/metadata/properties" xmlns:ns3="180d4fa6-a873-4ad7-b269-1ca045c1bae7" xmlns:ns4="3893335e-4aae-4c19-a88d-a0e6c08aaa0b" targetNamespace="http://schemas.microsoft.com/office/2006/metadata/properties" ma:root="true" ma:fieldsID="9d584b76db5ec06d6dc51a944e00cebe" ns3:_="" ns4:_="">
    <xsd:import namespace="180d4fa6-a873-4ad7-b269-1ca045c1bae7"/>
    <xsd:import namespace="3893335e-4aae-4c19-a88d-a0e6c08aaa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4fa6-a873-4ad7-b269-1ca045c1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335e-4aae-4c19-a88d-a0e6c08a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5801-3718-4421-A43B-3BE539372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4fa6-a873-4ad7-b269-1ca045c1bae7"/>
    <ds:schemaRef ds:uri="3893335e-4aae-4c19-a88d-a0e6c08aa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D9328-9611-4E47-8C2A-3F8B139F2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AA3F1F-D894-4304-ADF0-D20E5E118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D1E8B-2718-4D83-9E0E-90106477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</dc:title>
  <dc:subject>High Level Meeting on the Prevention and Response to Sexual Harassment</dc:subject>
  <dc:creator>Irina Japharidze</dc:creator>
  <cp:keywords/>
  <dc:description/>
  <cp:lastModifiedBy>Mehjabeen Alarakhia</cp:lastModifiedBy>
  <cp:revision>8</cp:revision>
  <cp:lastPrinted>2018-11-07T08:59:00Z</cp:lastPrinted>
  <dcterms:created xsi:type="dcterms:W3CDTF">2020-02-14T14:48:00Z</dcterms:created>
  <dcterms:modified xsi:type="dcterms:W3CDTF">2020-02-14T14:59:00Z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0x01010081901CAF6174674F85848C1FB1312F53</vt:lpwstr>
  </property>
</Properties>
</file>